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ourceLabel"/>
      </w:pPr>
      <w:r>
        <w:t>COMBINED SUMMARY &amp; SOURCE REFERENCE</w:t>
      </w:r>
    </w:p>
    <w:p>
      <w:bookmarkStart w:id="1" w:name="Summary"/>
      <w:pPr>
        <w:pStyle w:val="Title"/>
      </w:pPr>
      <w:r>
        <w:t>Rooming Accommodation</w:t>
        <w:br/>
        <w:t>Investment, Regulation</w:t>
        <w:br/>
        <w:t>&amp; Management</w:t>
      </w:r>
      <w:bookmarkEnd w:id="1"/>
    </w:p>
    <w:p>
      <w:pPr>
        <w:pStyle w:val="Subtitle"/>
      </w:pPr>
      <w:r>
        <w:t>Room-by-room rental models, investment claims and operating obligations</w:t>
      </w:r>
    </w:p>
    <w:p>
      <w:pPr>
        <w:pStyle w:val="SourceNote"/>
      </w:pPr>
      <w:r>
        <w:t>Compiled 14 September 2026</w:t>
      </w:r>
    </w:p>
    <w:p>
      <w:pPr>
        <w:pStyle w:val="Heading2"/>
        <w:keepNext/>
        <w:keepLines/>
      </w:pPr>
      <w:r>
        <w:t>Summary</w:t>
      </w:r>
    </w:p>
    <w:p>
      <w:pPr>
        <w:pStyle w:val="SummaryText"/>
      </w:pPr>
      <w:r>
        <w:rPr>
          <w:b/>
        </w:rPr>
        <w:t>Higher rental income comes with more work.</w:t>
      </w:r>
      <w:r>
        <w:t xml:space="preserve"> The articles describe a model in which occupants rent rooms or studios separately. Several promote higher gross yields than a single lease, while the management-focused sources emphasise more tenant administration, turnover, shared-area maintenance and compliance work. </w:t>
      </w:r>
      <w:r>
        <w:t>[</w:t>
      </w:r>
      <w:hyperlink w:anchor="S01" w:history="1">
        <w:r>
          <w:rPr>
            <w:color w:val="326A74"/>
          </w:rPr>
          <w:t xml:space="preserve">S01</w:t>
        </w:r>
      </w:hyperlink>
      <w:r>
        <w:t xml:space="preserve">, </w:t>
      </w:r>
      <w:hyperlink w:anchor="S02" w:history="1">
        <w:r>
          <w:rPr>
            <w:color w:val="326A74"/>
          </w:rPr>
          <w:t xml:space="preserve">S02</w:t>
        </w:r>
      </w:hyperlink>
      <w:r>
        <w:t xml:space="preserve">, </w:t>
      </w:r>
      <w:hyperlink w:anchor="S06" w:history="1">
        <w:r>
          <w:rPr>
            <w:color w:val="326A74"/>
          </w:rPr>
          <w:t xml:space="preserve">S06</w:t>
        </w:r>
      </w:hyperlink>
      <w:r>
        <w:t xml:space="preserve">, </w:t>
      </w:r>
      <w:hyperlink w:anchor="S08" w:history="1">
        <w:r>
          <w:rPr>
            <w:color w:val="326A74"/>
          </w:rPr>
          <w:t xml:space="preserve">S08</w:t>
        </w:r>
      </w:hyperlink>
      <w:r>
        <w:t>]</w:t>
      </w:r>
    </w:p>
    <w:p>
      <w:pPr>
        <w:pStyle w:val="SummaryText"/>
      </w:pPr>
      <w:r>
        <w:rPr>
          <w:b/>
        </w:rPr>
        <w:t>The properties are not all configured alike.</w:t>
      </w:r>
      <w:r>
        <w:t xml:space="preserve"> Buyers Agency Co describes furnished bedrooms with communal facilities; New Property Australia and Property Direct describe five-studio designs with private amenities and shared common areas. Indigo uses a six-bedroom illustration. Those descriptions should not be combined into one universal rooming-house definition. </w:t>
      </w:r>
      <w:r>
        <w:t>[</w:t>
      </w:r>
      <w:hyperlink w:anchor="S02" w:history="1">
        <w:r>
          <w:rPr>
            <w:color w:val="326A74"/>
          </w:rPr>
          <w:t xml:space="preserve">S02</w:t>
        </w:r>
      </w:hyperlink>
      <w:r>
        <w:t xml:space="preserve">, </w:t>
      </w:r>
      <w:hyperlink w:anchor="S04" w:history="1">
        <w:r>
          <w:rPr>
            <w:color w:val="326A74"/>
          </w:rPr>
          <w:t xml:space="preserve">S04</w:t>
        </w:r>
      </w:hyperlink>
      <w:r>
        <w:t xml:space="preserve">, </w:t>
      </w:r>
      <w:hyperlink w:anchor="S07" w:history="1">
        <w:r>
          <w:rPr>
            <w:color w:val="326A74"/>
          </w:rPr>
          <w:t xml:space="preserve">S07</w:t>
        </w:r>
      </w:hyperlink>
      <w:r>
        <w:t xml:space="preserve">, </w:t>
      </w:r>
      <w:hyperlink w:anchor="S08" w:history="1">
        <w:r>
          <w:rPr>
            <w:color w:val="326A74"/>
          </w:rPr>
          <w:t xml:space="preserve">S08</w:t>
        </w:r>
      </w:hyperlink>
      <w:r>
        <w:t>]</w:t>
      </w:r>
    </w:p>
    <w:p>
      <w:pPr>
        <w:pStyle w:val="SummaryText"/>
      </w:pPr>
      <w:r>
        <w:rPr>
          <w:b/>
        </w:rPr>
        <w:t>Vacancy protection is not the same as guaranteed occupancy.</w:t>
      </w:r>
      <w:r>
        <w:t xml:space="preserve"> Separate leases can preserve income when one occupant leaves. However, Your Investment Property and CT Real Estate also warn about turnover, gaps between tenancies and the work of managing unrelated residents. </w:t>
      </w:r>
      <w:r>
        <w:t>[</w:t>
      </w:r>
      <w:hyperlink w:anchor="S01" w:history="1">
        <w:r>
          <w:rPr>
            <w:color w:val="326A74"/>
          </w:rPr>
          <w:t xml:space="preserve">S01</w:t>
        </w:r>
      </w:hyperlink>
      <w:r>
        <w:t xml:space="preserve">, </w:t>
      </w:r>
      <w:hyperlink w:anchor="S05" w:history="1">
        <w:r>
          <w:rPr>
            <w:color w:val="326A74"/>
          </w:rPr>
          <w:t xml:space="preserve">S05</w:t>
        </w:r>
      </w:hyperlink>
      <w:r>
        <w:t xml:space="preserve">, </w:t>
      </w:r>
      <w:hyperlink w:anchor="S08" w:history="1">
        <w:r>
          <w:rPr>
            <w:color w:val="326A74"/>
          </w:rPr>
          <w:t xml:space="preserve">S08</w:t>
        </w:r>
      </w:hyperlink>
      <w:r>
        <w:t>]</w:t>
      </w:r>
    </w:p>
    <w:p>
      <w:pPr>
        <w:pStyle w:val="SummaryText"/>
      </w:pPr>
      <w:r>
        <w:rPr>
          <w:b/>
        </w:rPr>
        <w:t>Regulatory scope matters.</w:t>
      </w:r>
      <w:r>
        <w:t xml:space="preserve"> The Residential Tenancies Authority guidance specifically addresses owners renting rooms while living at the property. It distinguishes partial, complete and possible non-application of the Act. The commercial sources discuss other rooming arrangements, approvals and operating obligations from their own perspectives. </w:t>
      </w:r>
      <w:r>
        <w:t>[</w:t>
      </w:r>
      <w:hyperlink w:anchor="S03" w:history="1">
        <w:r>
          <w:rPr>
            <w:color w:val="326A74"/>
          </w:rPr>
          <w:t xml:space="preserve">S03</w:t>
        </w:r>
      </w:hyperlink>
      <w:r>
        <w:t xml:space="preserve">, </w:t>
      </w:r>
      <w:hyperlink w:anchor="S04" w:history="1">
        <w:r>
          <w:rPr>
            <w:color w:val="326A74"/>
          </w:rPr>
          <w:t xml:space="preserve">S04</w:t>
        </w:r>
      </w:hyperlink>
      <w:r>
        <w:t xml:space="preserve">, </w:t>
      </w:r>
      <w:hyperlink w:anchor="S05" w:history="1">
        <w:r>
          <w:rPr>
            <w:color w:val="326A74"/>
          </w:rPr>
          <w:t xml:space="preserve">S05</w:t>
        </w:r>
      </w:hyperlink>
      <w:r>
        <w:t xml:space="preserve">, </w:t>
      </w:r>
      <w:hyperlink w:anchor="S06" w:history="1">
        <w:r>
          <w:rPr>
            <w:color w:val="326A74"/>
          </w:rPr>
          <w:t xml:space="preserve">S06</w:t>
        </w:r>
      </w:hyperlink>
      <w:r>
        <w:t>]</w:t>
      </w:r>
    </w:p>
    <w:p>
      <w:pPr>
        <w:pStyle w:val="SummaryText"/>
      </w:pPr>
      <w:r>
        <w:rPr>
          <w:b/>
        </w:rPr>
        <w:t>Read each financial claim with its conditions.</w:t>
      </w:r>
      <w:r>
        <w:t xml:space="preserve"> The 2011 article, developer examples and commercial offers use different property types, costs and assumptions. Property Direct, for example, links its advertised return to a $1.2 million package, five rooms at $400 per week and a 5% vacancy allowance. </w:t>
      </w:r>
      <w:r>
        <w:t>[</w:t>
      </w:r>
      <w:hyperlink w:anchor="S01" w:history="1">
        <w:r>
          <w:rPr>
            <w:color w:val="326A74"/>
          </w:rPr>
          <w:t xml:space="preserve">S01</w:t>
        </w:r>
      </w:hyperlink>
      <w:r>
        <w:t xml:space="preserve">, </w:t>
      </w:r>
      <w:hyperlink w:anchor="S02" w:history="1">
        <w:r>
          <w:rPr>
            <w:color w:val="326A74"/>
          </w:rPr>
          <w:t xml:space="preserve">S02</w:t>
        </w:r>
      </w:hyperlink>
      <w:r>
        <w:t xml:space="preserve">, </w:t>
      </w:r>
      <w:hyperlink w:anchor="S08" w:history="1">
        <w:r>
          <w:rPr>
            <w:color w:val="326A74"/>
          </w:rPr>
          <w:t xml:space="preserve">S08</w:t>
        </w:r>
      </w:hyperlink>
      <w:r>
        <w:t>]</w:t>
      </w:r>
    </w:p>
    <w:p>
      <w:pPr>
        <w:pStyle w:val="SourceLabel"/>
        <w:pageBreakBefore/>
      </w:pPr>
      <w:r>
        <w:t>DOCUMENT NAVIGATION</w:t>
      </w:r>
    </w:p>
    <w:p>
      <w:bookmarkStart w:id="2" w:name="Contents"/>
      <w:pPr>
        <w:pStyle w:val="Heading1"/>
        <w:keepNext/>
        <w:keepLines/>
      </w:pPr>
      <w:r>
        <w:t>Contents</w:t>
      </w:r>
      <w:bookmarkEnd w:id="2"/>
    </w:p>
    <w:p>
      <w:pPr>
        <w:pStyle w:val="SourceNote"/>
      </w:pPr>
      <w:r>
        <w:t>The opening summary is followed by the source comparison, eight attributed chapters and a source register.</w:t>
      </w:r>
    </w:p>
    <w:p>
      <w:pPr>
        <w:pStyle w:val="ContentsText"/>
        <w:tabs>
          <w:tab w:pos="10094" w:val="right"/>
        </w:tabs>
      </w:pPr>
      <w:hyperlink w:anchor="Summary" w:history="1">
        <w:r>
          <w:rPr>
            <w:color w:val="326A74"/>
          </w:rPr>
          <w:t xml:space="preserve">Opening summary</w:t>
        </w:r>
      </w:hyperlink>
      <w:r>
        <w:tab/>
        <w:t>1</w:t>
      </w:r>
    </w:p>
    <w:p>
      <w:pPr>
        <w:pStyle w:val="SourceNote"/>
        <w:spacing w:after="200"/>
      </w:pPr>
      <w:r>
        <w:t>A consolidated overview of the eight sources</w:t>
      </w:r>
    </w:p>
    <w:p>
      <w:pPr>
        <w:pStyle w:val="ContentsText"/>
        <w:tabs>
          <w:tab w:pos="10094" w:val="right"/>
        </w:tabs>
      </w:pPr>
      <w:hyperlink w:anchor="Comparison" w:history="1">
        <w:r>
          <w:rPr>
            <w:color w:val="326A74"/>
          </w:rPr>
          <w:t xml:space="preserve">Figures and distinctions in the sources</w:t>
        </w:r>
      </w:hyperlink>
      <w:r>
        <w:tab/>
        <w:t>3</w:t>
      </w:r>
    </w:p>
    <w:p>
      <w:pPr>
        <w:pStyle w:val="SourceNote"/>
        <w:spacing w:after="200"/>
      </w:pPr>
      <w:r>
        <w:t>Yield claims, assumptions and different source positions</w:t>
      </w:r>
    </w:p>
    <w:p>
      <w:pPr>
        <w:pStyle w:val="ContentsText"/>
        <w:tabs>
          <w:tab w:pos="10094" w:val="right"/>
        </w:tabs>
      </w:pPr>
      <w:hyperlink w:anchor="S01" w:history="1">
        <w:r>
          <w:rPr>
            <w:color w:val="326A74"/>
          </w:rPr>
          <w:t xml:space="preserve">S01  Renting room by room: benefits and hurdles</w:t>
        </w:r>
      </w:hyperlink>
      <w:r>
        <w:tab/>
        <w:t>4</w:t>
      </w:r>
    </w:p>
    <w:p>
      <w:pPr>
        <w:pStyle w:val="SourceNote"/>
        <w:spacing w:after="200"/>
      </w:pPr>
      <w:r>
        <w:t>Your Investment Property | Historical editorial article</w:t>
      </w:r>
    </w:p>
    <w:p>
      <w:pPr>
        <w:pStyle w:val="ContentsText"/>
        <w:tabs>
          <w:tab w:pos="10094" w:val="right"/>
        </w:tabs>
      </w:pPr>
      <w:hyperlink w:anchor="S02" w:history="1">
        <w:r>
          <w:rPr>
            <w:color w:val="326A74"/>
          </w:rPr>
          <w:t xml:space="preserve">S02  Brisbane rooming-house investment strategy</w:t>
        </w:r>
      </w:hyperlink>
      <w:r>
        <w:tab/>
        <w:t>7</w:t>
      </w:r>
    </w:p>
    <w:p>
      <w:pPr>
        <w:pStyle w:val="SourceNote"/>
        <w:spacing w:after="200"/>
      </w:pPr>
      <w:r>
        <w:t>Indigo Construction Company | Developer article</w:t>
      </w:r>
    </w:p>
    <w:p>
      <w:pPr>
        <w:pStyle w:val="ContentsText"/>
        <w:tabs>
          <w:tab w:pos="10094" w:val="right"/>
        </w:tabs>
      </w:pPr>
      <w:hyperlink w:anchor="S03" w:history="1">
        <w:r>
          <w:rPr>
            <w:color w:val="326A74"/>
          </w:rPr>
          <w:t xml:space="preserve">S03  Owner-occupiers renting out rooms</w:t>
        </w:r>
      </w:hyperlink>
      <w:r>
        <w:tab/>
        <w:t>12</w:t>
      </w:r>
    </w:p>
    <w:p>
      <w:pPr>
        <w:pStyle w:val="SourceNote"/>
        <w:spacing w:after="200"/>
      </w:pPr>
      <w:r>
        <w:t>Residential Tenancies Authority | Official Queensland guidance</w:t>
      </w:r>
    </w:p>
    <w:p>
      <w:pPr>
        <w:pStyle w:val="ContentsText"/>
        <w:tabs>
          <w:tab w:pos="10094" w:val="right"/>
        </w:tabs>
      </w:pPr>
      <w:hyperlink w:anchor="S04" w:history="1">
        <w:r>
          <w:rPr>
            <w:color w:val="326A74"/>
          </w:rPr>
          <w:t xml:space="preserve">S04  Rooming-house design and investment proposition</w:t>
        </w:r>
      </w:hyperlink>
      <w:r>
        <w:tab/>
        <w:t>14</w:t>
      </w:r>
    </w:p>
    <w:p>
      <w:pPr>
        <w:pStyle w:val="SourceNote"/>
        <w:spacing w:after="200"/>
      </w:pPr>
      <w:r>
        <w:t>New Property Australia | Property investment provider page</w:t>
      </w:r>
    </w:p>
    <w:p>
      <w:pPr>
        <w:pStyle w:val="ContentsText"/>
        <w:tabs>
          <w:tab w:pos="10094" w:val="right"/>
        </w:tabs>
      </w:pPr>
      <w:hyperlink w:anchor="S05" w:history="1">
        <w:r>
          <w:rPr>
            <w:color w:val="326A74"/>
          </w:rPr>
          <w:t xml:space="preserve">S05  Multiple tenants: rental arrangements and risks</w:t>
        </w:r>
      </w:hyperlink>
      <w:r>
        <w:tab/>
        <w:t>16</w:t>
      </w:r>
    </w:p>
    <w:p>
      <w:pPr>
        <w:pStyle w:val="SourceNote"/>
        <w:spacing w:after="200"/>
      </w:pPr>
      <w:r>
        <w:t>CT Real Estate | Property management article</w:t>
      </w:r>
    </w:p>
    <w:p>
      <w:pPr>
        <w:pStyle w:val="ContentsText"/>
        <w:tabs>
          <w:tab w:pos="10094" w:val="right"/>
        </w:tabs>
      </w:pPr>
      <w:hyperlink w:anchor="S06" w:history="1">
        <w:r>
          <w:rPr>
            <w:color w:val="326A74"/>
          </w:rPr>
          <w:t xml:space="preserve">S06  Specialist management and compliance</w:t>
        </w:r>
      </w:hyperlink>
      <w:r>
        <w:tab/>
        <w:t>18</w:t>
      </w:r>
    </w:p>
    <w:p>
      <w:pPr>
        <w:pStyle w:val="SourceNote"/>
        <w:spacing w:after="200"/>
      </w:pPr>
      <w:r>
        <w:t>Realty8 | Property management service page</w:t>
      </w:r>
    </w:p>
    <w:p>
      <w:pPr>
        <w:pStyle w:val="ContentsText"/>
        <w:tabs>
          <w:tab w:pos="10094" w:val="right"/>
        </w:tabs>
      </w:pPr>
      <w:hyperlink w:anchor="S07" w:history="1">
        <w:r>
          <w:rPr>
            <w:color w:val="326A74"/>
          </w:rPr>
          <w:t xml:space="preserve">S07  HMO: rent-by-the-room investment</w:t>
        </w:r>
      </w:hyperlink>
      <w:r>
        <w:tab/>
        <w:t>21</w:t>
      </w:r>
    </w:p>
    <w:p>
      <w:pPr>
        <w:pStyle w:val="SourceNote"/>
        <w:spacing w:after="200"/>
      </w:pPr>
      <w:r>
        <w:t>Buyers Agency Co | Buyer agency article</w:t>
      </w:r>
    </w:p>
    <w:p>
      <w:pPr>
        <w:pStyle w:val="ContentsText"/>
        <w:tabs>
          <w:tab w:pos="10094" w:val="right"/>
        </w:tabs>
      </w:pPr>
      <w:hyperlink w:anchor="S08" w:history="1">
        <w:r>
          <w:rPr>
            <w:color w:val="326A74"/>
          </w:rPr>
          <w:t xml:space="preserve">S08  Purpose-built, five-studio investment model</w:t>
        </w:r>
      </w:hyperlink>
      <w:r>
        <w:tab/>
        <w:t>23</w:t>
      </w:r>
    </w:p>
    <w:p>
      <w:pPr>
        <w:pStyle w:val="SourceNote"/>
        <w:spacing w:after="200"/>
      </w:pPr>
      <w:r>
        <w:t>Property Direct Pty Ltd | Property investment offer</w:t>
      </w:r>
    </w:p>
    <w:p>
      <w:pPr>
        <w:pStyle w:val="ContentsText"/>
        <w:tabs>
          <w:tab w:pos="10094" w:val="right"/>
        </w:tabs>
      </w:pPr>
      <w:hyperlink w:anchor="Appendix" w:history="1">
        <w:r>
          <w:rPr>
            <w:color w:val="326A74"/>
          </w:rPr>
          <w:t xml:space="preserve">Appendix: source register and website material</w:t>
        </w:r>
      </w:hyperlink>
      <w:r>
        <w:tab/>
        <w:t>25</w:t>
      </w:r>
    </w:p>
    <w:p>
      <w:pPr>
        <w:pStyle w:val="SourceNote"/>
        <w:spacing w:after="200"/>
      </w:pPr>
      <w:r>
        <w:t>Original titles, filenames, navigation, advertisements and image labels</w:t>
      </w:r>
    </w:p>
    <w:p>
      <w:pPr>
        <w:pStyle w:val="SourceLabel"/>
        <w:pageBreakBefore/>
      </w:pPr>
      <w:r>
        <w:t>CROSS-SOURCE SUMMARY</w:t>
      </w:r>
    </w:p>
    <w:p>
      <w:bookmarkStart w:id="3" w:name="Comparison"/>
      <w:pPr>
        <w:pStyle w:val="Heading1"/>
        <w:keepNext/>
        <w:keepLines/>
      </w:pPr>
      <w:r>
        <w:t>Figures and distinctions in the sources</w:t>
      </w:r>
      <w:bookmarkEnd w:id="3"/>
    </w:p>
    <w:p>
      <w:pPr>
        <w:pStyle w:val="SourceNote"/>
      </w:pPr>
      <w:r>
        <w:t>These are figures stated by the publishers, not a single comparable market dataset. Gross yield, net yield and cash flow remain distinct in the source material.</w:t>
      </w:r>
    </w:p>
    <w:tbl>
      <w:tblPr>
        <w:tblW w:type="dxa" w:w="10166"/>
        <w:jc w:val="center"/>
        <w:tblLayout w:type="fixed"/>
        <w:tblLook w:firstColumn="1" w:firstRow="1" w:lastColumn="0" w:lastRow="0" w:noHBand="0" w:noVBand="1" w:val="04A0"/>
        <w:tblBorders>
          <w:top w:val="single" w:sz="4" w:color="D5DFE2"/>
          <w:left w:val="nil" w:sz="4" w:color="D5DFE2"/>
          <w:bottom w:val="single" w:sz="4" w:color="D5DFE2"/>
          <w:right w:val="nil" w:sz="4" w:color="D5DFE2"/>
          <w:insideH w:val="single" w:sz="4" w:color="D5DFE2"/>
          <w:insideV w:val="nil" w:sz="4" w:color="D5DFE2"/>
        </w:tblBorders>
      </w:tblPr>
      <w:tblGrid>
        <w:gridCol w:w="2333"/>
        <w:gridCol w:w="2578"/>
        <w:gridCol w:w="5256"/>
      </w:tblGrid>
      <w:tr>
        <w:trPr>
          <w:cantSplit/>
          <w:tblHeader/>
        </w:trPr>
        <w:tc>
          <w:tcPr>
            <w:tcW w:type="dxa" w:w="2333"/>
            <w:vAlign w:val="center"/>
            <w:tcMar>
              <w:top w:w="85" w:type="dxa"/>
              <w:bottom w:w="85" w:type="dxa"/>
              <w:left w:w="105" w:type="dxa"/>
              <w:right w:w="105" w:type="dxa"/>
            </w:tcMar>
            <w:shd w:fill="EFF4F5"/>
          </w:tcPr>
          <w:p>
            <w:pPr>
              <w:pStyle w:val="TableHeader"/>
              <w:keepNext/>
            </w:pPr>
            <w:r>
              <w:t>Source</w:t>
            </w:r>
          </w:p>
        </w:tc>
        <w:tc>
          <w:tcPr>
            <w:tcW w:type="dxa" w:w="2578"/>
            <w:vAlign w:val="center"/>
            <w:tcMar>
              <w:top w:w="85" w:type="dxa"/>
              <w:bottom w:w="85" w:type="dxa"/>
              <w:left w:w="105" w:type="dxa"/>
              <w:right w:w="105" w:type="dxa"/>
            </w:tcMar>
            <w:shd w:fill="EFF4F5"/>
          </w:tcPr>
          <w:p>
            <w:pPr>
              <w:pStyle w:val="TableHeader"/>
              <w:keepNext/>
            </w:pPr>
            <w:r>
              <w:t>Stated yield or return</w:t>
            </w:r>
          </w:p>
        </w:tc>
        <w:tc>
          <w:tcPr>
            <w:tcW w:type="dxa" w:w="5256"/>
            <w:vAlign w:val="center"/>
            <w:tcMar>
              <w:top w:w="85" w:type="dxa"/>
              <w:bottom w:w="85" w:type="dxa"/>
              <w:left w:w="105" w:type="dxa"/>
              <w:right w:w="105" w:type="dxa"/>
            </w:tcMar>
            <w:shd w:fill="EFF4F5"/>
          </w:tcPr>
          <w:p>
            <w:pPr>
              <w:pStyle w:val="TableHeader"/>
              <w:keepNext/>
            </w:pPr>
            <w:r>
              <w:t>Basis or qualification in the source</w:t>
            </w:r>
          </w:p>
        </w:tc>
      </w:tr>
      <w:tr>
        <w:trPr>
          <w:cantSplit/>
        </w:trPr>
        <w:tc>
          <w:tcPr>
            <w:tcW w:type="dxa" w:w="2333"/>
            <w:vAlign w:val="center"/>
            <w:tcMar>
              <w:top w:w="85" w:type="dxa"/>
              <w:bottom w:w="85" w:type="dxa"/>
              <w:left w:w="105" w:type="dxa"/>
              <w:right w:w="105" w:type="dxa"/>
            </w:tcMar>
          </w:tcPr>
          <w:p>
            <w:pPr>
              <w:pStyle w:val="TableText"/>
            </w:pPr>
            <w:r>
              <w:t>[</w:t>
            </w:r>
            <w:hyperlink w:anchor="S01" w:history="1">
              <w:r>
                <w:rPr>
                  <w:color w:val="326A74"/>
                </w:rPr>
                <w:t xml:space="preserve">S01</w:t>
              </w:r>
            </w:hyperlink>
            <w:r>
              <w:t>]</w:t>
            </w:r>
            <w:r>
              <w:t xml:space="preserve"> Your Investment Property</w:t>
            </w:r>
          </w:p>
        </w:tc>
        <w:tc>
          <w:tcPr>
            <w:tcW w:type="dxa" w:w="2578"/>
            <w:vAlign w:val="center"/>
            <w:tcMar>
              <w:top w:w="85" w:type="dxa"/>
              <w:bottom w:w="85" w:type="dxa"/>
              <w:left w:w="105" w:type="dxa"/>
              <w:right w:w="105" w:type="dxa"/>
            </w:tcMar>
          </w:tcPr>
          <w:p>
            <w:pPr>
              <w:pStyle w:val="TableText"/>
            </w:pPr>
            <w:r>
              <w:t>10-15% gross; 7-12% after higher running costs</w:t>
            </w:r>
          </w:p>
        </w:tc>
        <w:tc>
          <w:tcPr>
            <w:tcW w:type="dxa" w:w="5256"/>
            <w:vAlign w:val="center"/>
            <w:tcMar>
              <w:top w:w="85" w:type="dxa"/>
              <w:bottom w:w="85" w:type="dxa"/>
              <w:left w:w="105" w:type="dxa"/>
              <w:right w:w="105" w:type="dxa"/>
            </w:tcMar>
          </w:tcPr>
          <w:p>
            <w:pPr>
              <w:pStyle w:val="TableText"/>
            </w:pPr>
            <w:r>
              <w:t>22 November 2011 article. Broker commentary also gives 15-18% gross for some regional mining-town properties.</w:t>
            </w:r>
          </w:p>
        </w:tc>
      </w:tr>
      <w:tr>
        <w:trPr>
          <w:cantSplit/>
        </w:trPr>
        <w:tc>
          <w:tcPr>
            <w:tcW w:type="dxa" w:w="2333"/>
            <w:vAlign w:val="center"/>
            <w:tcMar>
              <w:top w:w="85" w:type="dxa"/>
              <w:bottom w:w="85" w:type="dxa"/>
              <w:left w:w="105" w:type="dxa"/>
              <w:right w:w="105" w:type="dxa"/>
            </w:tcMar>
          </w:tcPr>
          <w:p>
            <w:pPr>
              <w:pStyle w:val="TableText"/>
            </w:pPr>
            <w:r>
              <w:t>[</w:t>
            </w:r>
            <w:hyperlink w:anchor="S02" w:history="1">
              <w:r>
                <w:rPr>
                  <w:color w:val="326A74"/>
                </w:rPr>
                <w:t xml:space="preserve">S02</w:t>
              </w:r>
            </w:hyperlink>
            <w:r>
              <w:t>]</w:t>
            </w:r>
            <w:r>
              <w:t xml:space="preserve"> Indigo Construction Company</w:t>
            </w:r>
          </w:p>
        </w:tc>
        <w:tc>
          <w:tcPr>
            <w:tcW w:type="dxa" w:w="2578"/>
            <w:vAlign w:val="center"/>
            <w:tcMar>
              <w:top w:w="85" w:type="dxa"/>
              <w:bottom w:w="85" w:type="dxa"/>
              <w:left w:w="105" w:type="dxa"/>
              <w:right w:w="105" w:type="dxa"/>
            </w:tcMar>
          </w:tcPr>
          <w:p>
            <w:pPr>
              <w:pStyle w:val="TableText"/>
            </w:pPr>
            <w:r>
              <w:t>8-12% or higher; example: 8.9% gross</w:t>
            </w:r>
          </w:p>
        </w:tc>
        <w:tc>
          <w:tcPr>
            <w:tcW w:type="dxa" w:w="5256"/>
            <w:vAlign w:val="center"/>
            <w:tcMar>
              <w:top w:w="85" w:type="dxa"/>
              <w:bottom w:w="85" w:type="dxa"/>
              <w:left w:w="105" w:type="dxa"/>
              <w:right w:w="105" w:type="dxa"/>
            </w:tcMar>
          </w:tcPr>
          <w:p>
            <w:pPr>
              <w:pStyle w:val="TableText"/>
            </w:pPr>
            <w:r>
              <w:t>Six rooms at $200 per week; $62,400 annual gross income on a $700,000 investment.</w:t>
            </w:r>
          </w:p>
        </w:tc>
      </w:tr>
      <w:tr>
        <w:trPr>
          <w:cantSplit/>
        </w:trPr>
        <w:tc>
          <w:tcPr>
            <w:tcW w:type="dxa" w:w="2333"/>
            <w:vAlign w:val="center"/>
            <w:tcMar>
              <w:top w:w="85" w:type="dxa"/>
              <w:bottom w:w="85" w:type="dxa"/>
              <w:left w:w="105" w:type="dxa"/>
              <w:right w:w="105" w:type="dxa"/>
            </w:tcMar>
          </w:tcPr>
          <w:p>
            <w:pPr>
              <w:pStyle w:val="TableText"/>
            </w:pPr>
            <w:r>
              <w:t>[</w:t>
            </w:r>
            <w:hyperlink w:anchor="S04" w:history="1">
              <w:r>
                <w:rPr>
                  <w:color w:val="326A74"/>
                </w:rPr>
                <w:t xml:space="preserve">S04</w:t>
              </w:r>
            </w:hyperlink>
            <w:r>
              <w:t>]</w:t>
            </w:r>
            <w:r>
              <w:t xml:space="preserve"> New Property Australia</w:t>
            </w:r>
          </w:p>
        </w:tc>
        <w:tc>
          <w:tcPr>
            <w:tcW w:type="dxa" w:w="2578"/>
            <w:vAlign w:val="center"/>
            <w:tcMar>
              <w:top w:w="85" w:type="dxa"/>
              <w:bottom w:w="85" w:type="dxa"/>
              <w:left w:w="105" w:type="dxa"/>
              <w:right w:w="105" w:type="dxa"/>
            </w:tcMar>
          </w:tcPr>
          <w:p>
            <w:pPr>
              <w:pStyle w:val="TableText"/>
            </w:pPr>
            <w:r>
              <w:t>10% or better may be possible</w:t>
            </w:r>
          </w:p>
        </w:tc>
        <w:tc>
          <w:tcPr>
            <w:tcW w:type="dxa" w:w="5256"/>
            <w:vAlign w:val="center"/>
            <w:tcMar>
              <w:top w:w="85" w:type="dxa"/>
              <w:bottom w:w="85" w:type="dxa"/>
              <w:left w:w="105" w:type="dxa"/>
              <w:right w:w="105" w:type="dxa"/>
            </w:tcMar>
          </w:tcPr>
          <w:p>
            <w:pPr>
              <w:pStyle w:val="TableText"/>
            </w:pPr>
            <w:r>
              <w:t>Provider description of separate lettable spaces; owner pays shared-area maintenance and utilities.</w:t>
            </w:r>
          </w:p>
        </w:tc>
      </w:tr>
      <w:tr>
        <w:trPr>
          <w:cantSplit/>
        </w:trPr>
        <w:tc>
          <w:tcPr>
            <w:tcW w:type="dxa" w:w="2333"/>
            <w:vAlign w:val="center"/>
            <w:tcMar>
              <w:top w:w="85" w:type="dxa"/>
              <w:bottom w:w="85" w:type="dxa"/>
              <w:left w:w="105" w:type="dxa"/>
              <w:right w:w="105" w:type="dxa"/>
            </w:tcMar>
          </w:tcPr>
          <w:p>
            <w:pPr>
              <w:pStyle w:val="TableText"/>
            </w:pPr>
            <w:r>
              <w:t>[</w:t>
            </w:r>
            <w:hyperlink w:anchor="S07" w:history="1">
              <w:r>
                <w:rPr>
                  <w:color w:val="326A74"/>
                </w:rPr>
                <w:t xml:space="preserve">S07</w:t>
              </w:r>
            </w:hyperlink>
            <w:r>
              <w:t>]</w:t>
            </w:r>
            <w:r>
              <w:t xml:space="preserve"> Buyers Agency Co</w:t>
            </w:r>
          </w:p>
        </w:tc>
        <w:tc>
          <w:tcPr>
            <w:tcW w:type="dxa" w:w="2578"/>
            <w:vAlign w:val="center"/>
            <w:tcMar>
              <w:top w:w="85" w:type="dxa"/>
              <w:bottom w:w="85" w:type="dxa"/>
              <w:left w:w="105" w:type="dxa"/>
              <w:right w:w="105" w:type="dxa"/>
            </w:tcMar>
          </w:tcPr>
          <w:p>
            <w:pPr>
              <w:pStyle w:val="TableText"/>
            </w:pPr>
            <w:r>
              <w:t>5% gross rising to 10%+</w:t>
            </w:r>
          </w:p>
        </w:tc>
        <w:tc>
          <w:tcPr>
            <w:tcW w:type="dxa" w:w="5256"/>
            <w:vAlign w:val="center"/>
            <w:tcMar>
              <w:top w:w="85" w:type="dxa"/>
              <w:bottom w:w="85" w:type="dxa"/>
              <w:left w:w="105" w:type="dxa"/>
              <w:right w:w="105" w:type="dxa"/>
            </w:tcMar>
          </w:tcPr>
          <w:p>
            <w:pPr>
              <w:pStyle w:val="TableText"/>
            </w:pPr>
            <w:r>
              <w:t>Promotes the rent-by-the-room model; owner pays utilities and organises common-area cleaning and gardening.</w:t>
            </w:r>
          </w:p>
        </w:tc>
      </w:tr>
      <w:tr>
        <w:trPr>
          <w:cantSplit/>
        </w:trPr>
        <w:tc>
          <w:tcPr>
            <w:tcW w:type="dxa" w:w="2333"/>
            <w:vAlign w:val="center"/>
            <w:tcMar>
              <w:top w:w="85" w:type="dxa"/>
              <w:bottom w:w="85" w:type="dxa"/>
              <w:left w:w="105" w:type="dxa"/>
              <w:right w:w="105" w:type="dxa"/>
            </w:tcMar>
          </w:tcPr>
          <w:p>
            <w:pPr>
              <w:pStyle w:val="TableText"/>
            </w:pPr>
            <w:r>
              <w:t>[</w:t>
            </w:r>
            <w:hyperlink w:anchor="S08" w:history="1">
              <w:r>
                <w:rPr>
                  <w:color w:val="326A74"/>
                </w:rPr>
                <w:t xml:space="preserve">S08</w:t>
              </w:r>
            </w:hyperlink>
            <w:r>
              <w:t>]</w:t>
            </w:r>
            <w:r>
              <w:t xml:space="preserve"> Property Direct</w:t>
            </w:r>
          </w:p>
        </w:tc>
        <w:tc>
          <w:tcPr>
            <w:tcW w:type="dxa" w:w="2578"/>
            <w:vAlign w:val="center"/>
            <w:tcMar>
              <w:top w:w="85" w:type="dxa"/>
              <w:bottom w:w="85" w:type="dxa"/>
              <w:left w:w="105" w:type="dxa"/>
              <w:right w:w="105" w:type="dxa"/>
            </w:tcMar>
          </w:tcPr>
          <w:p>
            <w:pPr>
              <w:pStyle w:val="TableText"/>
            </w:pPr>
            <w:r>
              <w:t>Up to 8% gross; up to $100,000 gross annually</w:t>
            </w:r>
          </w:p>
        </w:tc>
        <w:tc>
          <w:tcPr>
            <w:tcW w:type="dxa" w:w="5256"/>
            <w:vAlign w:val="center"/>
            <w:tcMar>
              <w:top w:w="85" w:type="dxa"/>
              <w:bottom w:w="85" w:type="dxa"/>
              <w:left w:w="105" w:type="dxa"/>
              <w:right w:w="105" w:type="dxa"/>
            </w:tcMar>
          </w:tcPr>
          <w:p>
            <w:pPr>
              <w:pStyle w:val="TableText"/>
            </w:pPr>
            <w:r>
              <w:t>$1.2 million package; five rooms at $400 per week; 5% vacancy allowance. The source says income is an estimate and outcomes are not guaranteed.</w:t>
            </w:r>
          </w:p>
        </w:tc>
      </w:tr>
    </w:tbl>
    <w:p>
      <w:pPr>
        <w:spacing w:after="40" w:before="0" w:line="240" w:lineRule="auto"/>
      </w:pPr>
      <w:r>
        <w:rPr>
          <w:sz w:val="4"/>
        </w:rPr>
      </w:r>
    </w:p>
    <w:p>
      <w:pPr>
        <w:pStyle w:val="Heading2"/>
        <w:keepNext/>
        <w:keepLines/>
      </w:pPr>
      <w:r>
        <w:t>Distinctions that remain important</w:t>
      </w:r>
    </w:p>
    <w:p>
      <w:r>
        <w:rPr>
          <w:b/>
        </w:rPr>
        <w:t>Financing and exit.</w:t>
      </w:r>
      <w:r>
        <w:t xml:space="preserve"> The 2011 article describes lender caution, commercial treatment of some purpose-built properties and the importance of resale flexibility. Indigo describes lenders becoming more comfortable with the asset class. These remain separate accounts rather than one financing rule. </w:t>
      </w:r>
      <w:r>
        <w:t>[</w:t>
      </w:r>
      <w:hyperlink w:anchor="S01" w:history="1">
        <w:r>
          <w:rPr>
            <w:color w:val="326A74"/>
          </w:rPr>
          <w:t xml:space="preserve">S01</w:t>
        </w:r>
      </w:hyperlink>
      <w:r>
        <w:t xml:space="preserve">, </w:t>
      </w:r>
      <w:hyperlink w:anchor="S02" w:history="1">
        <w:r>
          <w:rPr>
            <w:color w:val="326A74"/>
          </w:rPr>
          <w:t xml:space="preserve">S02</w:t>
        </w:r>
      </w:hyperlink>
      <w:r>
        <w:t>]</w:t>
      </w:r>
    </w:p>
    <w:p>
      <w:r>
        <w:rPr>
          <w:b/>
        </w:rPr>
        <w:t>Configuration and approval.</w:t>
      </w:r>
      <w:r>
        <w:t xml:space="preserve"> Indigo illustrates six bedrooms, while New Property Australia describes a Brisbane model with five lettable areas, five unrelated parties and a 300 m2 limit. A financial illustration is not a site-specific approval. </w:t>
      </w:r>
      <w:r>
        <w:t>[</w:t>
      </w:r>
      <w:hyperlink w:anchor="S02" w:history="1">
        <w:r>
          <w:rPr>
            <w:color w:val="326A74"/>
          </w:rPr>
          <w:t xml:space="preserve">S02</w:t>
        </w:r>
      </w:hyperlink>
      <w:r>
        <w:t xml:space="preserve">, </w:t>
      </w:r>
      <w:hyperlink w:anchor="S04" w:history="1">
        <w:r>
          <w:rPr>
            <w:color w:val="326A74"/>
          </w:rPr>
          <w:t xml:space="preserve">S04</w:t>
        </w:r>
      </w:hyperlink>
      <w:r>
        <w:t>]</w:t>
      </w:r>
    </w:p>
    <w:p>
      <w:r>
        <w:rPr>
          <w:b/>
        </w:rPr>
        <w:t>Different vacancy claims.</w:t>
      </w:r>
      <w:r>
        <w:t xml:space="preserve"> Buyers Agency Co says vacancies are lower and rooms fill quickly. Your Investment Property and CT Real Estate warn about turnover and possible vacancy gaps. No common measurement period or shared dataset accompanies these claims. </w:t>
      </w:r>
      <w:r>
        <w:t>[</w:t>
      </w:r>
      <w:hyperlink w:anchor="S01" w:history="1">
        <w:r>
          <w:rPr>
            <w:color w:val="326A74"/>
          </w:rPr>
          <w:t xml:space="preserve">S01</w:t>
        </w:r>
      </w:hyperlink>
      <w:r>
        <w:t xml:space="preserve">, </w:t>
      </w:r>
      <w:hyperlink w:anchor="S05" w:history="1">
        <w:r>
          <w:rPr>
            <w:color w:val="326A74"/>
          </w:rPr>
          <w:t xml:space="preserve">S05</w:t>
        </w:r>
      </w:hyperlink>
      <w:r>
        <w:t xml:space="preserve">, </w:t>
      </w:r>
      <w:hyperlink w:anchor="S07" w:history="1">
        <w:r>
          <w:rPr>
            <w:color w:val="326A74"/>
          </w:rPr>
          <w:t xml:space="preserve">S07</w:t>
        </w:r>
      </w:hyperlink>
      <w:r>
        <w:t>]</w:t>
      </w:r>
    </w:p>
    <w:p>
      <w:pPr>
        <w:pStyle w:val="SourceLabel"/>
        <w:pageBreakBefore/>
      </w:pPr>
      <w:r>
        <w:t>S01 | YOUR INVESTMENT PROPERTY</w:t>
      </w:r>
    </w:p>
    <w:p>
      <w:bookmarkStart w:id="4" w:name="S01"/>
      <w:pPr>
        <w:pStyle w:val="Heading1"/>
        <w:keepNext/>
        <w:keepLines/>
      </w:pPr>
      <w:r>
        <w:t>Renting room by room: your path to power profits?</w:t>
      </w:r>
      <w:bookmarkEnd w:id="4"/>
    </w:p>
    <w:p>
      <w:pPr>
        <w:pStyle w:val="SourceNote"/>
      </w:pPr>
      <w:r>
        <w:t>Historical editorial article | Aidan Devine | 22 November 2011</w:t>
      </w:r>
    </w:p>
    <w:p>
      <w:pPr/>
      <w:r>
        <w:t>Conventional property investment wisdom suggests that you rent one property on one lease – whether that’s signed by one person, a couple, a family or flatmates. However, that’s not the only way to let out your investment: what about letting a property room by room?</w:t>
      </w:r>
    </w:p>
    <w:p>
      <w:pPr/>
      <w:r>
        <w:t>It’s a well-established strategy, especially in the context of boarding houses, student accommodation and backpacker hostels. Admittedly, it involves more work and can be more costly than the more familiar type of investment, but the benefits can also be significant – not least rental yields in double figures as well as solid capital growth for the right properties.</w:t>
      </w:r>
    </w:p>
    <w:p>
      <w:pPr/>
      <w:r>
        <w:t>So, do those financial benefits outweigh the extra hassles that come with renting a property room by room?</w:t>
      </w:r>
    </w:p>
    <w:p>
      <w:pPr>
        <w:pStyle w:val="Heading2"/>
        <w:keepNext/>
        <w:keepLines/>
      </w:pPr>
      <w:r>
        <w:rPr>
          <w:b/>
        </w:rPr>
        <w:t>The legal situation</w:t>
      </w:r>
    </w:p>
    <w:p>
      <w:pPr/>
      <w:r>
        <w:t>There are a few legal considerations that any investor planning to let rooms separately needs to bear in mind, says Wroth Wall, property lawyer and principal at Wall &amp; Company.</w:t>
      </w:r>
    </w:p>
    <w:p>
      <w:pPr/>
      <w:r>
        <w:t>“The first consideration that investors need to bear in mind is whether the occupants of the property will be classed as lodgers, boarders or tenants: each confers different rights on the resident, and can leave you liable to very different laws,” explains Wall.</w:t>
      </w:r>
    </w:p>
    <w:p>
      <w:pPr/>
      <w:r>
        <w:t>Landlords are most likely to fall foul of the distinction between tenants and boarders. In short, tenants are granted exclusive use of a property or part of a property, and have the most rights. Boarders have fewer rights – however, landlords typically have to provide certain services, such as food, laundry and so on.</w:t>
      </w:r>
    </w:p>
    <w:p>
      <w:pPr/>
      <w:r>
        <w:t>Wall emphasises that you should be clear who your clientele is likely to be – students, backpackers, long-term residents and so on – and which side of the divide you wish to fall on. Otherwise, you might find that yourself unintentionally in a lease situation, or that you are liable to provide additional services that you may not have anticipated.</w:t>
      </w:r>
    </w:p>
    <w:p>
      <w:pPr/>
      <w:r>
        <w:t>It’s also important to check local council planning laws and regulations regarding multi-occupancy houses, as these vary not only from state to state but from council to council.</w:t>
      </w:r>
    </w:p>
    <w:p>
      <w:pPr/>
      <w:r>
        <w:t>For example, in the greater Sydney metropolitan area, the SEPP 10 (State Environmental Planning Policy) regulation places restrictions on the development of low-cost rental accommodation – particularly boarding houses and hostels – which could impact the feasibility of an investment. Other councils require there to be a property manager on site at all times, and there are often requirements for minimum numbers of smoke alarms, fire exit signposting, multiple exits and other health and safety requirements – all of which could add to your establishment and running costs.</w:t>
      </w:r>
    </w:p>
    <w:p>
      <w:pPr>
        <w:pStyle w:val="Heading2"/>
        <w:keepNext/>
        <w:keepLines/>
      </w:pPr>
      <w:r>
        <w:rPr>
          <w:b/>
        </w:rPr>
        <w:t>Other hurdles</w:t>
      </w:r>
    </w:p>
    <w:p>
      <w:pPr/>
      <w:r>
        <w:t>Over and above the legal considerations, there are also a number of practical issues that investors need to bear in mind – not least the fact that multi-occupancy properties will require a lot more work than a ‘normal’ investment.</w:t>
      </w:r>
    </w:p>
    <w:p>
      <w:pPr>
        <w:pStyle w:val="Heading3"/>
        <w:keepNext/>
        <w:keepLines/>
      </w:pPr>
      <w:r>
        <w:rPr>
          <w:i/>
        </w:rPr>
        <w:t>Financing</w:t>
      </w:r>
    </w:p>
    <w:p>
      <w:pPr/>
      <w:r>
        <w:t>Lenders are, to put it lightly, ‘somewhat twitchy’ about boarding house-style properties. Jane Slack Smith, Director of Investors Choice Mortgage and founder of Your Property Success, says that the hesitancy largely revolves around what happens if you have to sell up.</w:t>
      </w:r>
    </w:p>
    <w:p>
      <w:pPr/>
      <w:r>
        <w:t>“Lenders’ objections are typically to do with onselling: as a rule, it’s generally only investors who are interested in buying properties like this, so you’ve got a smaller pool of potential buyers to begin with,” she says. “Lenders are also wary of the situation regarding vacancies, as you tend to see more short-term and student tenants, which can lead to a higher vacancy rate.”</w:t>
      </w:r>
    </w:p>
    <w:p>
      <w:pPr/>
      <w:r>
        <w:t>Amit Sharma, a Melbourne-based mortgage broker with LoanMarket, agrees, but highlights that the type of property can make a difference.</w:t>
      </w:r>
    </w:p>
    <w:p>
      <w:pPr/>
      <w:r>
        <w:t>“If you’re talking about a property that has been purpose-built for multiple residents, then lenders will typically see it as a commercial proposition, and therefore will only lend on commercial terms – which means a higher interest rate and a larger deposit.”</w:t>
      </w:r>
    </w:p>
    <w:p>
      <w:pPr/>
      <w:r>
        <w:t>Properties that have been converted from existing homes are a different matter, in his experience.</w:t>
      </w:r>
    </w:p>
    <w:p>
      <w:pPr/>
      <w:r>
        <w:t>“Residential property with lots of rooms tend to be evaluated on a case-by-case basis, depending on whether the property can be resold as a family home,” adds Sharma. “Similarly, with smaller properties – say three- or four-bedroom houses – it again hinges on who the property could potentially be sold onto.”</w:t>
      </w:r>
    </w:p>
    <w:p>
      <w:pPr/>
      <w:r>
        <w:t>Even so, Slack-Smith warns that even something as simple as having locks on internal doors can set lenders’ alarm bells ringing – even if you’re not planning on running a multi-occupancy property – and could derail your plans for finance. You should also notify your lender if you’re considering converting an existing property, otherwise you could be going against the terms of your loan contract.</w:t>
      </w:r>
    </w:p>
    <w:p>
      <w:pPr>
        <w:pStyle w:val="Heading3"/>
        <w:keepNext/>
        <w:keepLines/>
      </w:pPr>
      <w:r>
        <w:rPr>
          <w:i/>
        </w:rPr>
        <w:t>Property management</w:t>
      </w:r>
    </w:p>
    <w:p>
      <w:pPr/>
      <w:r>
        <w:t>The next significant hurdle is property management. Many property managers will simply refuse to deal with multiple occupancy properties, and those that do charge a hefty fee – as much as 12%.</w:t>
      </w:r>
    </w:p>
    <w:p>
      <w:pPr/>
      <w:r>
        <w:t>As a result, many landlords who operate multiple occupancy properties end up managing the properties themselves. This brings with it all the downsides that come with DIY property management, such as having to source and interview tenants, deal with day-to-day tenant management, and implement rent increases.</w:t>
      </w:r>
    </w:p>
    <w:p>
      <w:pPr/>
      <w:r>
        <w:t>Due to the nature of this type of property, the downsides of directly managing a property can be magnified – after all, you may have to negotiate several rental increases over the course of a year, rather than just one. Another issue, too, is the fact you’ll be dealing with several tenants who may not otherwise have chosen to be living in the same space.</w:t>
      </w:r>
    </w:p>
    <w:p>
      <w:pPr/>
      <w:r>
        <w:t>“There can quite often be conflicts of personality, as your various tenants aren’t necessarily choosing to live together and might not get on,” says Slack-Smith. “Is that something that you, as a landlord, really want to be involved in?”</w:t>
      </w:r>
    </w:p>
    <w:p>
      <w:pPr/>
      <w:r>
        <w:t>Sharma firmly recommends paying the premium for a good property manager if possible, as it can also ease lenders’ jitters over multi-occupancy properties.</w:t>
      </w:r>
    </w:p>
    <w:p>
      <w:pPr/>
      <w:r>
        <w:t>“It’s much easier to show the rental income if you use a manager, as it’ll all be contained on one rental statement ,” he comments. “If the property is self-managed it can look confusing with multiple rental payments coming in based on multiple leases – and that can be problematic with lenders. By using a property manager who can present the income clearly on a single statement, you can improve your financing options.”</w:t>
      </w:r>
    </w:p>
    <w:p>
      <w:pPr/>
      <w:r>
        <w:t>For landlords that are directly managing the property, there is another popular option to ease the burden, adds Sharma.</w:t>
      </w:r>
    </w:p>
    <w:p>
      <w:pPr/>
      <w:r>
        <w:t>“One of my clients has appointed one tenant as the ‘caretaker’ of the property: they look after the shared areas, undertake basic maintenance and sometimes collect rent,” explains Sharma. “In return, they pay $20–30 less in rent per week. It’s a good solution, as it means you’ve got someone on hand in the property to look after the basics – although you’ve still got to deal with the overall property management, and you’ll have to factor slightly lower rental income into your calculations.”</w:t>
      </w:r>
    </w:p>
    <w:p>
      <w:pPr>
        <w:pStyle w:val="Heading3"/>
        <w:keepNext/>
        <w:keepLines/>
      </w:pPr>
      <w:r>
        <w:rPr>
          <w:i/>
        </w:rPr>
        <w:t>Furnishing</w:t>
      </w:r>
    </w:p>
    <w:p>
      <w:pPr/>
      <w:r>
        <w:t>The question of whether the property is furnished or unfurnished is one that is more pressing for landlords of multi-occupancy houses.</w:t>
      </w:r>
    </w:p>
    <w:p>
      <w:pPr/>
      <w:r>
        <w:t>Many landlords provide the properties fully furnished, or at least with furniture in shared areas. Increasingly, facilities are also being included in tenants’ private rooms – such as kettles, microwaves and/or small fridges. This means further costs for the investor to kit out the property, as well as consideration as to how furniture and white goods owned by the landlord are dealt with in tenancy agreements and landlord insurance. Indeed, it even can be the case that landlord insurance is difficult to obtain, as some insurers may refuse to insure properties rented out on multiple leases, as real-life investor Jemma Lane found out (see ‘Real life story’).</w:t>
      </w:r>
    </w:p>
    <w:p>
      <w:pPr/>
      <w:r>
        <w:t>Providing a property fully-furnished can also encourage short-term tenants, rather than tenants planning to stay for the long term; on the plus side, it does allow you to charge a higher rent. Slack-Smith argues that it’s a trade-off between seeking longer-term residents but with a lower income, and a higher cash income but a likely higher turnover of tenants.</w:t>
      </w:r>
    </w:p>
    <w:p>
      <w:pPr>
        <w:pStyle w:val="Heading2"/>
        <w:keepNext/>
        <w:keepLines/>
      </w:pPr>
      <w:r>
        <w:rPr>
          <w:b/>
        </w:rPr>
        <w:t>Working the numbers</w:t>
      </w:r>
    </w:p>
    <w:p>
      <w:pPr/>
      <w:r>
        <w:t>However, assuming you can deal with the various idiosyncrasies of running such a property – and finance it – the financial benefits can be significant. Sharma reckons that running a property as multiple occupancy can increase the gross rental yield from 3–5% to 10–15%, and that you can still see yields of 7–12% even when the higher running costs are taken into the equation.</w:t>
      </w:r>
    </w:p>
    <w:p>
      <w:pPr/>
      <w:r>
        <w:t>“You effectively can do multi-let anywhere,” says Sharma. “Depending on location, you’ll attract a different type of tenant – so, if you’re near a university, you’ll most probably get students, whereas if you’re near the inner city you’ll get a higher proportion of single professionals. I’ve got one tenant who specialises in multi-occupancy properties in regional mining towns, providing accommodation to workers. He’s seeing gross yields of 15-18% in some of his properties.”</w:t>
      </w:r>
    </w:p>
    <w:p>
      <w:pPr/>
      <w:r>
        <w:t>Most multiple occupancy properties experience similar capital growth as more traditional properties, too: that is, as long as they have scope to be converted back into more traditional accommodation.</w:t>
      </w:r>
    </w:p>
    <w:p>
      <w:pPr/>
      <w:r>
        <w:t>“In my experience, converted multiple occupancy properties are very rarely distinguished in terms of growth,” adds Sharma. “Admittedly, they may only be of interest to homeowners if they’re specifically looking for a large family home, but it tends to be the case that most existing multi-let properties are marketed to all on the grounds that they’re easy to turn back into a family home</w:t>
      </w:r>
    </w:p>
    <w:p>
      <w:pPr/>
      <w:r>
        <w:t>“Purpose-built properties are a different matter, as they typically will only be bought by investors: therefore, you tend to find that the value is directly tied to the rental yields,” he says.</w:t>
      </w:r>
    </w:p>
    <w:p>
      <w:pPr/>
      <w:r>
        <w:t>Slack-Smith’s advice to investors considering a multi-occupancy property is to be wary.</w:t>
      </w:r>
    </w:p>
    <w:p>
      <w:pPr/>
      <w:r>
        <w:t>“My initial reaction when anyone mentions these type of properties is usually ‘Beware! Beware!” she says. “You really do have to thoroughly work out the risks as well as the benefits.</w:t>
      </w:r>
    </w:p>
    <w:p>
      <w:pPr/>
      <w:r>
        <w:t>“Bear in mind things like the extra expenses, the faster wear and tear, the possible higher vacancy rates, the financing issues; you need to balance that out against the potential gains to ensure its worthwhile,” continues Slack-Smith. “It’s easy to be attracted by these types of properties because of the large yields, but you can’t be blinded by the profits alone. You need to realise they’re a very hands-on investment – and definitely not ‘set and forget’.”</w:t>
      </w:r>
    </w:p>
    <w:p>
      <w:pPr>
        <w:pStyle w:val="SourceLabel"/>
        <w:pageBreakBefore/>
      </w:pPr>
      <w:r>
        <w:t>S02 | INDIGO CONSTRUCTION COMPANY</w:t>
      </w:r>
    </w:p>
    <w:p>
      <w:bookmarkStart w:id="5" w:name="S02"/>
      <w:pPr>
        <w:pStyle w:val="Heading1"/>
        <w:keepNext/>
        <w:keepLines/>
      </w:pPr>
      <w:r>
        <w:t>Brisbane Property Investment Strategy: Rooming Houses Explained</w:t>
      </w:r>
      <w:bookmarkEnd w:id="5"/>
    </w:p>
    <w:p>
      <w:pPr>
        <w:pStyle w:val="SourceNote"/>
      </w:pPr>
      <w:r>
        <w:t>Developer article | Commercial source</w:t>
      </w:r>
    </w:p>
    <w:p>
      <w:pPr/>
      <w:r>
        <w:t>Property investment strategy has changed significantly in Brisbane over the past five years. The old playbook of buying whatever you could afford in a decent suburb and hoping for capital growth doesn’t cut it anymore. Interest rates have been volatile, rental yields on traditional properties barely cover costs and competition for standard investment properties keeps pushing prices higher while returns stay flat.</w:t>
      </w:r>
    </w:p>
    <w:p>
      <w:pPr/>
      <w:r>
        <w:t>Investors who want actual cash flow and portfolio growth need to think differently. They need strategies that generate income from day one, diversify risk across multiple income streams and take advantage of undersupplied market segments where demand consistently outstrips availability.</w:t>
      </w:r>
    </w:p>
    <w:p>
      <w:pPr/>
      <w:r>
        <w:t>This is exactly where rooming houses fit into a smart Brisbane investment strategy. They’re not some niche asset class only for experienced developers. When structured properly, rooming houses offer accessible entry points, strong yields, manageable risk and genuine wealth-building potential for investors at different stages.</w:t>
      </w:r>
    </w:p>
    <w:p>
      <w:pPr/>
      <w:r>
        <w:t>Indigo Construction Company has watched this shift happen firsthand. As an investment housing developer in Brisbane, they’ve helped dozens of investors integrate rooming houses into their portfolios through smart housing solutions and property development consultancy that focuses on real returns, not just construction.</w:t>
      </w:r>
    </w:p>
    <w:p>
      <w:pPr/>
      <w:r>
        <w:t>Let’s break down how rooming houses actually work as an investment strategy, where they fit in a diversified portfolio and how to approach them in a way that builds wealth instead of creating headaches.</w:t>
      </w:r>
    </w:p>
    <w:p>
      <w:pPr>
        <w:pStyle w:val="Heading2"/>
        <w:keepNext/>
        <w:keepLines/>
      </w:pPr>
      <w:r>
        <w:rPr>
          <w:b/>
        </w:rPr>
        <w:t>Why Rooming Houses Fit Today’s Brisbane Market</w:t>
      </w:r>
    </w:p>
    <w:p>
      <w:pPr/>
      <w:r>
        <w:t>Brisbane’s property market has specific characteristics that make rooming houses particularly attractive right now.</w:t>
      </w:r>
    </w:p>
    <w:p>
      <w:pPr>
        <w:pStyle w:val="Heading3"/>
        <w:keepNext/>
        <w:keepLines/>
      </w:pPr>
      <w:r>
        <w:rPr>
          <w:b/>
        </w:rPr>
        <w:t>Strong Rental Demand, Limited Supply</w:t>
      </w:r>
    </w:p>
    <w:p>
      <w:pPr/>
      <w:r>
        <w:t>Brisbane’s population continues growing through interstate migration and international arrivals. Universities, hospitals and expanding employment sectors all create demand for affordable, flexible accommodation. But the supply of quality rooming houses hasn’t kept pace. This supply-demand imbalance supports strong occupancy rates and stable rental pricing.</w:t>
      </w:r>
    </w:p>
    <w:p>
      <w:pPr>
        <w:pStyle w:val="Heading3"/>
        <w:keepNext/>
        <w:keepLines/>
      </w:pPr>
      <w:r>
        <w:rPr>
          <w:b/>
        </w:rPr>
        <w:t>Yield Gap Compared to Traditional Property</w:t>
      </w:r>
    </w:p>
    <w:p>
      <w:pPr/>
      <w:r>
        <w:t>Standard Brisbane houses deliver gross yields around 3 to 5 per cent. Apartments might push 4 to 6 per cent. Purpose-built rooming houses routinely achieve 8 to 12 per cent or higher. That yield gap isn’t marginal. It’s the difference between subsidising a property and generating genuine cash flow.</w:t>
      </w:r>
    </w:p>
    <w:p>
      <w:pPr>
        <w:pStyle w:val="Heading3"/>
        <w:keepNext/>
        <w:keepLines/>
      </w:pPr>
      <w:r>
        <w:rPr>
          <w:b/>
        </w:rPr>
        <w:t>Affordability Crisis Creating Tenant Pool</w:t>
      </w:r>
    </w:p>
    <w:p>
      <w:pPr/>
      <w:r>
        <w:t>Brisbane’s housing affordability challenges have created a large pool of people who need accommodation but can’t afford or don’t want full rental properties. Students, young professionals, shift workers, temporary residents and people transitioning between living situations all need exactly what rooming houses provide.</w:t>
      </w:r>
    </w:p>
    <w:p>
      <w:pPr>
        <w:pStyle w:val="Heading3"/>
        <w:keepNext/>
        <w:keepLines/>
      </w:pPr>
      <w:r>
        <w:rPr>
          <w:b/>
        </w:rPr>
        <w:t>Capital Growth Potential</w:t>
      </w:r>
    </w:p>
    <w:p>
      <w:pPr/>
      <w:r>
        <w:t>While yield is the primary attraction, well-located rooming houses in areas with strong employment and infrastructure development still benefit from capital appreciation over time. You’re not sacrificing growth for income. You’re getting both.</w:t>
      </w:r>
    </w:p>
    <w:p>
      <w:pPr>
        <w:pStyle w:val="Heading2"/>
        <w:keepNext/>
        <w:keepLines/>
      </w:pPr>
      <w:r>
        <w:rPr>
          <w:b/>
        </w:rPr>
        <w:t>How Rooming Houses Generate Superior Yields</w:t>
      </w:r>
    </w:p>
    <w:p>
      <w:pPr/>
      <w:r>
        <w:t>The yield advantage comes from a simple concept. Instead of one tenant paying one rent for an entire property, multiple tenants each pay rent for individual rooms. The combined income from all rooms exceeds what the property would generate as a standard rental.</w:t>
      </w:r>
    </w:p>
    <w:p>
      <w:pPr/>
      <w:r>
        <w:t>Let’s look at a practical example. A four-bedroom house in a decent Brisbane suburb might rent for $650 per week. Annual gross income is around $33,800. If that property cost $700,000, your gross yield is about 4.8 per cent.</w:t>
      </w:r>
    </w:p>
    <w:p>
      <w:pPr/>
      <w:r>
        <w:t>Now take a similar property converted or purpose-built as a rooming house with six bedrooms. Each room rents for $200 per week. Total income is $1,200 weekly or $62,400 annually. On the same $700,000 investment, gross yield jumps to 8.9 per cent.</w:t>
      </w:r>
    </w:p>
    <w:p>
      <w:pPr/>
      <w:r>
        <w:t>That extra income dramatically changes your holding capacity, ability to service debt and speed of equity accumulation.</w:t>
      </w:r>
    </w:p>
    <w:p>
      <w:pPr/>
      <w:r>
        <w:t>Indigo Construction Company’s smart housing solutions optimise this yield equation by designing rooming houses that maximise rentable space without sacrificing comfort or compliance.</w:t>
      </w:r>
    </w:p>
    <w:p>
      <w:pPr>
        <w:pStyle w:val="Heading2"/>
        <w:keepNext/>
        <w:keepLines/>
      </w:pPr>
      <w:r>
        <w:rPr>
          <w:b/>
        </w:rPr>
        <w:t>Rooming Houses as Portfolio Diversification</w:t>
      </w:r>
    </w:p>
    <w:p>
      <w:pPr/>
      <w:r>
        <w:t>Smart investors don’t put all their capital into one asset type. Diversification spreads risk and creates income stability.</w:t>
      </w:r>
    </w:p>
    <w:p>
      <w:pPr>
        <w:pStyle w:val="Heading3"/>
        <w:keepNext/>
        <w:keepLines/>
      </w:pPr>
      <w:r>
        <w:rPr>
          <w:b/>
        </w:rPr>
        <w:t>Multiple Income Streams from One Asset</w:t>
      </w:r>
    </w:p>
    <w:p>
      <w:pPr/>
      <w:r>
        <w:t>With a standard rental, one tenant leaving means 100 per cent income loss until you find a replacement. With a rooming house, one tenant leaving might mean a 15 to 20 per cent income reduction, but the other rooms keep generating cash flow. This income diversification reduces vulnerability to vacancy.</w:t>
      </w:r>
    </w:p>
    <w:p>
      <w:pPr>
        <w:pStyle w:val="Heading3"/>
        <w:keepNext/>
        <w:keepLines/>
      </w:pPr>
      <w:r>
        <w:rPr>
          <w:b/>
        </w:rPr>
        <w:t>Different Tenant Profile</w:t>
      </w:r>
    </w:p>
    <w:p>
      <w:pPr/>
      <w:r>
        <w:rPr>
          <w:b/>
        </w:rPr>
        <w:t>Rooming houses</w:t>
      </w:r>
      <w:r>
        <w:t xml:space="preserve"> attract different tenants than standard rentals. This demographic diversification means your portfolio isn’t entirely dependent on one market segment. If family rentals soften, rooming house demand might stay strong because it serves students, workers and temporary residents.</w:t>
      </w:r>
    </w:p>
    <w:p>
      <w:pPr>
        <w:pStyle w:val="Heading3"/>
        <w:keepNext/>
        <w:keepLines/>
      </w:pPr>
      <w:r>
        <w:rPr>
          <w:b/>
        </w:rPr>
        <w:t>Asset Type Variety</w:t>
      </w:r>
    </w:p>
    <w:p>
      <w:pPr/>
      <w:r>
        <w:t>Combining rooming houses with traditional houses or apartments creates portfolio balance. Different asset types perform differently in various market conditions, smoothing overall returns.</w:t>
      </w:r>
    </w:p>
    <w:p>
      <w:pPr>
        <w:pStyle w:val="Heading2"/>
        <w:keepNext/>
        <w:keepLines/>
      </w:pPr>
      <w:r>
        <w:rPr>
          <w:b/>
        </w:rPr>
        <w:t>Capital Requirements and Financing</w:t>
      </w:r>
    </w:p>
    <w:p>
      <w:pPr/>
      <w:r>
        <w:t>One common misconception is that rooming houses require massive capital or are hard to finance. Reality is more nuanced.</w:t>
      </w:r>
    </w:p>
    <w:p>
      <w:pPr>
        <w:pStyle w:val="Heading3"/>
        <w:keepNext/>
        <w:keepLines/>
      </w:pPr>
      <w:r>
        <w:rPr>
          <w:b/>
        </w:rPr>
        <w:t>Entry Points Vary Widely</w:t>
      </w:r>
    </w:p>
    <w:p>
      <w:pPr/>
      <w:r>
        <w:t>You can build a smaller six-bedroom rooming house on a modest block for $600,000 to $800,000 in many Brisbane suburbs. Larger properties on bigger sites might cost $1.2 million to $1.8 million. There are entry points at different capital levels.</w:t>
      </w:r>
    </w:p>
    <w:p>
      <w:pPr>
        <w:pStyle w:val="Heading3"/>
        <w:keepNext/>
        <w:keepLines/>
      </w:pPr>
      <w:r>
        <w:rPr>
          <w:b/>
        </w:rPr>
        <w:t>Financing Considerations</w:t>
      </w:r>
    </w:p>
    <w:p>
      <w:pPr/>
      <w:r>
        <w:t>Traditional lenders have become more comfortable with rooming houses as the asset class has matured. Strong rental income helps service loans and lenders increasingly recognise rooming houses as viable investment properties. That said, some lenders still prefer traditional assets, so working with mortgage brokers experienced in rooming house finance helps.</w:t>
      </w:r>
    </w:p>
    <w:p>
      <w:pPr>
        <w:pStyle w:val="Heading3"/>
        <w:keepNext/>
        <w:keepLines/>
      </w:pPr>
      <w:r>
        <w:rPr>
          <w:b/>
        </w:rPr>
        <w:t>Return on Investment Timeline</w:t>
      </w:r>
    </w:p>
    <w:p>
      <w:pPr/>
      <w:r>
        <w:t>Because yields are higher, rooming houses often generate positive cash flow from year one, unlike many traditional investments that stay negatively geared for years. This accelerates equity building and enables faster portfolio expansion.</w:t>
      </w:r>
    </w:p>
    <w:p>
      <w:pPr/>
      <w:r>
        <w:t>Indigo Construction Company’s property development consultancy includes financial feasibility analysis to help investors understand capital requirements, expected returns and financing pathways before committing.</w:t>
      </w:r>
    </w:p>
    <w:p>
      <w:pPr>
        <w:pStyle w:val="Heading2"/>
        <w:keepNext/>
        <w:keepLines/>
      </w:pPr>
      <w:r>
        <w:rPr>
          <w:b/>
        </w:rPr>
        <w:t>Location Strategy for Rooming House Investment</w:t>
      </w:r>
    </w:p>
    <w:p>
      <w:pPr/>
      <w:r>
        <w:t>Location drives demand, which drives occupancy, which drives returns. Rooming house location strategy differs slightly from traditional property investment.</w:t>
      </w:r>
    </w:p>
    <w:p>
      <w:pPr>
        <w:pStyle w:val="Heading3"/>
        <w:keepNext/>
        <w:keepLines/>
      </w:pPr>
      <w:r>
        <w:rPr>
          <w:b/>
        </w:rPr>
        <w:t>Proximity to Employment and Education</w:t>
      </w:r>
    </w:p>
    <w:p>
      <w:pPr/>
      <w:r>
        <w:t>Areas near universities, TAFEs, hospitals, industrial zones and major employment centres create consistent tenant demand. Workers and students want shorter commutes and easy access.</w:t>
      </w:r>
    </w:p>
    <w:p>
      <w:pPr>
        <w:pStyle w:val="Heading3"/>
        <w:keepNext/>
        <w:keepLines/>
      </w:pPr>
      <w:r>
        <w:rPr>
          <w:b/>
        </w:rPr>
        <w:t>Transport Connectivity</w:t>
      </w:r>
    </w:p>
    <w:p>
      <w:pPr/>
      <w:r>
        <w:t>Many rooming house tenants don’t own cars. Locations with good bus routes, train access, or bike-friendly infrastructure attract broader tenant pools.</w:t>
      </w:r>
    </w:p>
    <w:p>
      <w:pPr>
        <w:pStyle w:val="Heading3"/>
        <w:keepNext/>
        <w:keepLines/>
      </w:pPr>
      <w:r>
        <w:rPr>
          <w:b/>
        </w:rPr>
        <w:t>Local Amenities</w:t>
      </w:r>
    </w:p>
    <w:p>
      <w:pPr/>
      <w:r>
        <w:t>Shops, cafes, gyms, medical services and parks within walking distance improve liveability, which supports higher rents and longer tenant stays.</w:t>
      </w:r>
    </w:p>
    <w:p>
      <w:pPr>
        <w:pStyle w:val="Heading3"/>
        <w:keepNext/>
        <w:keepLines/>
      </w:pPr>
      <w:r>
        <w:rPr>
          <w:b/>
        </w:rPr>
        <w:t>Development and Infrastructure Growth</w:t>
      </w:r>
    </w:p>
    <w:p>
      <w:pPr/>
      <w:r>
        <w:t>Areas experiencing infrastructure investment, rezoning, or major projects often see strengthening demand as employment opportunities expand.</w:t>
      </w:r>
    </w:p>
    <w:p>
      <w:pPr/>
      <w:r>
        <w:t>Brisbane suburbs like Woolloongabba, Toowong, Taringa, Salisbury, Stones Corner and areas along major transport corridors often work well for rooming house investment due to proximity to universities, hospitals and employment.</w:t>
      </w:r>
    </w:p>
    <w:p>
      <w:pPr>
        <w:pStyle w:val="Heading2"/>
        <w:keepNext/>
        <w:keepLines/>
      </w:pPr>
      <w:r>
        <w:rPr>
          <w:b/>
        </w:rPr>
        <w:t>Active vs Passive Management</w:t>
      </w:r>
    </w:p>
    <w:p>
      <w:pPr/>
      <w:r>
        <w:t>Rooming houses require more active management than standard rentals. Understanding this upfront helps set realistic expectations.</w:t>
      </w:r>
    </w:p>
    <w:p>
      <w:pPr>
        <w:pStyle w:val="Heading3"/>
        <w:keepNext/>
        <w:keepLines/>
      </w:pPr>
      <w:r>
        <w:rPr>
          <w:b/>
        </w:rPr>
        <w:t>Self-Management</w:t>
      </w:r>
    </w:p>
    <w:p>
      <w:pPr/>
      <w:r>
        <w:t>Some investors self-manage to maximise returns. This involves tenant screening, rent collection, maintenance coordination, inspections and conflict resolution. It’s more hands-on but keeps management fees in your pocket.</w:t>
      </w:r>
    </w:p>
    <w:p>
      <w:pPr>
        <w:pStyle w:val="Heading3"/>
        <w:keepNext/>
        <w:keepLines/>
      </w:pPr>
      <w:r>
        <w:rPr>
          <w:b/>
        </w:rPr>
        <w:t>Professional Management</w:t>
      </w:r>
    </w:p>
    <w:p>
      <w:pPr/>
      <w:r>
        <w:t>Hiring experienced property managers reduces workload but adds costs. Good managers earn their fees by maintaining high occupancy, screening quality tenants and handling issues efficiently.</w:t>
      </w:r>
    </w:p>
    <w:p>
      <w:pPr>
        <w:pStyle w:val="Heading3"/>
        <w:keepNext/>
        <w:keepLines/>
      </w:pPr>
      <w:r>
        <w:rPr>
          <w:b/>
        </w:rPr>
        <w:t>Systems and Processes</w:t>
      </w:r>
    </w:p>
    <w:p>
      <w:pPr/>
      <w:r>
        <w:t>Whether self-managing or using a professional, having clear systems for rent payment, maintenance requests, house rules and communication keeps operations smooth.</w:t>
      </w:r>
    </w:p>
    <w:p>
      <w:pPr/>
      <w:r>
        <w:t>The management approach you choose affects net returns, so it should be factored into your investment strategy from the beginning.</w:t>
      </w:r>
    </w:p>
    <w:p>
      <w:pPr>
        <w:pStyle w:val="Heading2"/>
        <w:keepNext/>
        <w:keepLines/>
      </w:pPr>
      <w:r>
        <w:rPr>
          <w:b/>
        </w:rPr>
        <w:t>Risk Management and Mitigation</w:t>
      </w:r>
    </w:p>
    <w:p>
      <w:pPr/>
      <w:r>
        <w:t>Every investment carries risk. Smart investors identify risks and build strategies to mitigate them.</w:t>
      </w:r>
    </w:p>
    <w:p>
      <w:pPr>
        <w:pStyle w:val="Heading3"/>
        <w:keepNext/>
        <w:keepLines/>
      </w:pPr>
      <w:r>
        <w:rPr>
          <w:b/>
        </w:rPr>
        <w:t>Tenant Turnover</w:t>
      </w:r>
    </w:p>
    <w:p>
      <w:pPr/>
      <w:r>
        <w:t>Multiple tenants mean more turnover potential. Mitigate this by creating comfortable spaces that encourage longer stays, screening tenants carefully and maintaining the property well.</w:t>
      </w:r>
    </w:p>
    <w:p>
      <w:pPr>
        <w:pStyle w:val="Heading3"/>
        <w:keepNext/>
        <w:keepLines/>
      </w:pPr>
      <w:r>
        <w:rPr>
          <w:b/>
        </w:rPr>
        <w:t>Maintenance and Wear</w:t>
      </w:r>
    </w:p>
    <w:p>
      <w:pPr/>
      <w:r>
        <w:t>More occupants means more wear. Budget for regular maintenance, use durable materials and address issues promptly to prevent small problems from becoming expensive repairs.</w:t>
      </w:r>
    </w:p>
    <w:p>
      <w:pPr>
        <w:pStyle w:val="Heading3"/>
        <w:keepNext/>
        <w:keepLines/>
      </w:pPr>
      <w:r>
        <w:rPr>
          <w:b/>
        </w:rPr>
        <w:t>Regulatory Changes</w:t>
      </w:r>
    </w:p>
    <w:p>
      <w:pPr/>
      <w:r>
        <w:t>Rooming house regulations can evolve. Stay informed about compliance requirements and maintain properties to high standards that exceed minimum regulations.</w:t>
      </w:r>
    </w:p>
    <w:p>
      <w:pPr>
        <w:pStyle w:val="Heading3"/>
        <w:keepNext/>
        <w:keepLines/>
      </w:pPr>
      <w:r>
        <w:rPr>
          <w:b/>
        </w:rPr>
        <w:t>Market Cyclicality</w:t>
      </w:r>
    </w:p>
    <w:p>
      <w:pPr/>
      <w:r>
        <w:t>While rooming house demand is generally stable, broader economic conditions affect all property. Diversify your portfolio and maintain cash reserves to weather market fluctuations.</w:t>
      </w:r>
    </w:p>
    <w:p>
      <w:pPr>
        <w:pStyle w:val="Heading2"/>
        <w:keepNext/>
        <w:keepLines/>
      </w:pPr>
      <w:r>
        <w:rPr>
          <w:b/>
        </w:rPr>
        <w:t>Building Equity and Wealth Over Time</w:t>
      </w:r>
    </w:p>
    <w:p>
      <w:pPr/>
      <w:r>
        <w:t>The real power of rooming house investment isn’t just the initial yield. It’s the compounding effect of strong cash flow accelerating equity growth.</w:t>
      </w:r>
    </w:p>
    <w:p>
      <w:pPr>
        <w:pStyle w:val="Heading3"/>
        <w:keepNext/>
        <w:keepLines/>
      </w:pPr>
      <w:r>
        <w:rPr>
          <w:b/>
        </w:rPr>
        <w:t>Positive Cash Flow Fuels Growth</w:t>
      </w:r>
    </w:p>
    <w:p>
      <w:pPr/>
      <w:r>
        <w:t>Properties that generate income after expenses create surplus capital. This cash flow can service additional loans, fund more investments, or build reserves.</w:t>
      </w:r>
    </w:p>
    <w:p>
      <w:pPr>
        <w:pStyle w:val="Heading3"/>
        <w:keepNext/>
        <w:keepLines/>
      </w:pPr>
      <w:r>
        <w:rPr>
          <w:b/>
        </w:rPr>
        <w:t>Faster Debt Reduction</w:t>
      </w:r>
    </w:p>
    <w:p>
      <w:pPr/>
      <w:r>
        <w:t>Higher rental income enables faster loan repayment if you choose to apply the surplus toward principal reduction, building equity more quickly.</w:t>
      </w:r>
    </w:p>
    <w:p>
      <w:pPr>
        <w:pStyle w:val="Heading3"/>
        <w:keepNext/>
        <w:keepLines/>
      </w:pPr>
      <w:r>
        <w:rPr>
          <w:b/>
        </w:rPr>
        <w:t>Portfolio Expansion</w:t>
      </w:r>
    </w:p>
    <w:p>
      <w:pPr/>
      <w:r>
        <w:t>Strong cash flow and growing equity create borrowing capacity for additional investments. This acceleration effect helps build wealth faster than negatively geared strategies.</w:t>
      </w:r>
    </w:p>
    <w:p>
      <w:pPr>
        <w:pStyle w:val="Heading3"/>
        <w:keepNext/>
        <w:keepLines/>
      </w:pPr>
      <w:r>
        <w:rPr>
          <w:b/>
        </w:rPr>
        <w:t>Tax Efficiency</w:t>
      </w:r>
    </w:p>
    <w:p>
      <w:pPr/>
      <w:r>
        <w:t>Rooming houses offer similar tax benefits to traditional rentals, including depreciation, interest deductions and expense claims. Combined with positive cash flow, the tax efficiency can be compelling.</w:t>
      </w:r>
    </w:p>
    <w:p>
      <w:pPr>
        <w:pStyle w:val="Heading2"/>
        <w:keepNext/>
        <w:keepLines/>
      </w:pPr>
      <w:r>
        <w:rPr>
          <w:b/>
        </w:rPr>
        <w:t>Purpose-Built vs Conversion Strategy</w:t>
      </w:r>
    </w:p>
    <w:p>
      <w:pPr/>
      <w:r>
        <w:t>Investors can either convert existing houses into rooming houses or build purpose-built properties. Each approach has pros and cons.</w:t>
      </w:r>
    </w:p>
    <w:p>
      <w:pPr>
        <w:pStyle w:val="Heading3"/>
        <w:keepNext/>
        <w:keepLines/>
      </w:pPr>
      <w:r>
        <w:rPr>
          <w:b/>
        </w:rPr>
        <w:t>Conversions</w:t>
      </w:r>
    </w:p>
    <w:p>
      <w:pPr/>
      <w:r>
        <w:t>Converting an existing house can have lower upfront costs and faster timelines. However, compromises on layout efficiency, compliance upgrades and ongoing functionality often reduce long-term performance.</w:t>
      </w:r>
    </w:p>
    <w:p>
      <w:pPr>
        <w:pStyle w:val="Heading3"/>
        <w:keepNext/>
        <w:keepLines/>
      </w:pPr>
      <w:r>
        <w:rPr>
          <w:b/>
        </w:rPr>
        <w:t>Purpose-Built</w:t>
      </w:r>
    </w:p>
    <w:p>
      <w:pPr/>
      <w:r>
        <w:t>Purpose-built rooming houses designed specifically for multi-tenant living optimise layout, compliance, efficiency and comfort from day one. They typically deliver higher yields, lower maintenance and better tenant retention.</w:t>
      </w:r>
    </w:p>
    <w:p>
      <w:pPr/>
      <w:r>
        <w:t>Indigo Construction Company’s investment housing developer experience focuses on purpose-built properties because they consistently outperform conversions in yield, tenant satisfaction and long-term value.</w:t>
      </w:r>
    </w:p>
    <w:p>
      <w:pPr>
        <w:pStyle w:val="Heading2"/>
        <w:keepNext/>
        <w:keepLines/>
      </w:pPr>
      <w:r>
        <w:rPr>
          <w:b/>
        </w:rPr>
        <w:t>How Indigo Construction Company Supports Investment Strategy</w:t>
      </w:r>
    </w:p>
    <w:p>
      <w:pPr/>
      <w:r>
        <w:t>Integrating rooming houses into your investment strategy works best with experienced guidance. Indigo Construction Company provides comprehensive property development consultancy covering:</w:t>
      </w:r>
    </w:p>
    <w:p>
      <w:pPr>
        <w:pStyle w:val="Heading3"/>
        <w:keepNext/>
        <w:keepLines/>
      </w:pPr>
      <w:r>
        <w:rPr>
          <w:b/>
        </w:rPr>
        <w:t>Feasibility Analysis</w:t>
      </w:r>
    </w:p>
    <w:p>
      <w:pPr/>
      <w:r>
        <w:t>Assessing potential sites, running financial projections, identifying risks and determining whether a project aligns with your investment goals before significant capital commitment.</w:t>
      </w:r>
    </w:p>
    <w:p>
      <w:pPr>
        <w:pStyle w:val="Heading3"/>
        <w:keepNext/>
        <w:keepLines/>
      </w:pPr>
      <w:r>
        <w:rPr>
          <w:b/>
        </w:rPr>
        <w:t>Design Optimization</w:t>
      </w:r>
    </w:p>
    <w:p>
      <w:pPr/>
      <w:r>
        <w:t>Creating layouts that maximise yield without compromising liveability, compliance, or future flexibility.</w:t>
      </w:r>
    </w:p>
    <w:p>
      <w:pPr>
        <w:pStyle w:val="Heading3"/>
        <w:keepNext/>
        <w:keepLines/>
      </w:pPr>
      <w:r>
        <w:rPr>
          <w:b/>
        </w:rPr>
        <w:t>Compliance Management</w:t>
      </w:r>
    </w:p>
    <w:p>
      <w:pPr/>
      <w:r>
        <w:t>Navigating council approvals, building certifications and licensing requirements efficiently.</w:t>
      </w:r>
    </w:p>
    <w:p>
      <w:pPr>
        <w:pStyle w:val="Heading3"/>
        <w:keepNext/>
        <w:keepLines/>
      </w:pPr>
      <w:r>
        <w:rPr>
          <w:b/>
        </w:rPr>
        <w:t>Construction Quality</w:t>
      </w:r>
    </w:p>
    <w:p>
      <w:pPr/>
      <w:r>
        <w:t>Building properties that last, require minimal maintenance and continue performing well years after handover.</w:t>
      </w:r>
    </w:p>
    <w:p>
      <w:pPr>
        <w:pStyle w:val="Heading3"/>
        <w:keepNext/>
        <w:keepLines/>
      </w:pPr>
      <w:r>
        <w:rPr>
          <w:b/>
        </w:rPr>
        <w:t>Ongoing Support</w:t>
      </w:r>
    </w:p>
    <w:p>
      <w:pPr/>
      <w:r>
        <w:t>Providing guidance on management strategies, tenant selection and operational best practices.</w:t>
      </w:r>
    </w:p>
    <w:p>
      <w:pPr/>
      <w:r>
        <w:t>Their smart housing solutions are specifically designed to deliver the yields and stability that make rooming houses valuable portfolio additions. You can explore their approach at IndigoConstructionCompany.com.au.</w:t>
      </w:r>
    </w:p>
    <w:p>
      <w:pPr>
        <w:pStyle w:val="Heading2"/>
        <w:keepNext/>
        <w:keepLines/>
      </w:pPr>
      <w:r>
        <w:rPr>
          <w:b/>
        </w:rPr>
        <w:t>Key Takeaways</w:t>
      </w:r>
    </w:p>
    <w:p>
      <w:pPr/>
      <w:r>
        <w:t>Rooming houses deliver yields of 8 to 12 per cent or more in Brisbane, dramatically outperforming traditional rentals and apartments that struggle to exceed 5 per cent. This yield gap creates genuine cash flow instead of properties that barely cover their costs. The income advantage comes from multiple tenants each paying rent for individual rooms, with total combined income far exceeding what the property would generate as a standard rental.</w:t>
      </w:r>
    </w:p>
    <w:p>
      <w:pPr/>
      <w:r>
        <w:t>Portfolio diversification improves with rooming houses because income streams from multiple tenants reduce vacancy risk. One tenant leaving affects only 15 to 20 per cent of total income rather than creating complete income loss like standard rentals. Rooming houses also serve different tenant demographics than traditional properties, spreading risk across market segments.</w:t>
      </w:r>
    </w:p>
    <w:p>
      <w:pPr/>
      <w:r>
        <w:t>Brisbane’s supply-demand dynamics favour rooming houses. Strong population growth, expanding universities and hospitals and housing affordability challenges create consistent demand for flexible, affordable accommodation. Quality rooming house supply hasn’t kept pace, supporting strong occupancy and stable rents.</w:t>
      </w:r>
    </w:p>
    <w:p>
      <w:pPr/>
      <w:r>
        <w:t>Location strategy focuses on proximity to employment, education and transport. Areas near universities, hospitals, industrial zones and major transport corridors generate the most consistent tenant demand. Local amenities and infrastructure development further strengthen location value.</w:t>
      </w:r>
    </w:p>
    <w:p>
      <w:pPr/>
      <w:r>
        <w:t>Purpose-built rooming houses outperform conversions. Properties designed specifically for multi-tenant living optimise layout efficiency, compliance, comfort and operational functionality in ways that conversions simply can’t match. This translates to higher yields, lower maintenance and better tenant retention.</w:t>
      </w:r>
    </w:p>
    <w:p>
      <w:pPr/>
      <w:r>
        <w:t>Positive cash flow accelerates wealth building. Unlike negatively geared strategies that drain capital for years, rooming houses often generate surplus income from year one. This cash flow services additional investments, builds equity faster and enables portfolio expansion. Indigo Construction Company’s property development consultancy and smart housing solutions help Brisbane investors integrate high-performing rooming houses into wealth-building strategies. Explore their investment-focused approach at IndigoConstructionCompany.com.au.</w:t>
      </w:r>
    </w:p>
    <w:p>
      <w:pPr>
        <w:pStyle w:val="SourceLabel"/>
        <w:pageBreakBefore/>
      </w:pPr>
      <w:r>
        <w:t>S03 | RESIDENTIAL TENANCIES AUTHORITY</w:t>
      </w:r>
    </w:p>
    <w:p>
      <w:bookmarkStart w:id="6" w:name="S03"/>
      <w:pPr>
        <w:pStyle w:val="Heading1"/>
        <w:keepNext/>
        <w:keepLines/>
      </w:pPr>
      <w:r>
        <w:t>Owner-occupiers renting out rooms</w:t>
      </w:r>
      <w:bookmarkEnd w:id="6"/>
    </w:p>
    <w:p>
      <w:pPr>
        <w:pStyle w:val="SourceNote"/>
      </w:pPr>
      <w:r>
        <w:t>Official Queensland guidance | Owner-occupier arrangements</w:t>
      </w:r>
    </w:p>
    <w:p>
      <w:pPr/>
      <w:r>
        <w:t>Owner-occupiers can rent out room(s) or part of their property while living there. New laws mean this option is also available to people who have accessed certain transfer (stamp) duty concessions , including first home buyer grants or concessions.</w:t>
      </w:r>
    </w:p>
    <w:p>
      <w:pPr/>
      <w:r>
        <w:t>Before you enter a rental agreement, check if the Residential Tenancies and Rooming Accommodation Act 2008 (the Act) applies.</w:t>
      </w:r>
    </w:p>
    <w:p>
      <w:pPr/>
      <w:r>
        <w:t>When renting out part of a property, the rental agreement may be partially or completely covered under the Act, depending on:</w:t>
      </w:r>
    </w:p>
    <w:p>
      <w:pPr>
        <w:pStyle w:val="ListBullet"/>
      </w:pPr>
      <w:r>
        <w:t>how many rooms are rented or available for rent</w:t>
      </w:r>
    </w:p>
    <w:p>
      <w:pPr>
        <w:pStyle w:val="ListBullet"/>
      </w:pPr>
      <w:r>
        <w:t>if a self-contained secondary dwelling is rented or available for rent</w:t>
      </w:r>
    </w:p>
    <w:p>
      <w:pPr>
        <w:pStyle w:val="ListBullet"/>
      </w:pPr>
      <w:r>
        <w:t>whether a rental bond is taken.</w:t>
      </w:r>
    </w:p>
    <w:p>
      <w:pPr/>
      <w:r>
        <w:t>Below is a guide to help property owners and tenants/residents understand their obligations under the Act.</w:t>
      </w:r>
    </w:p>
    <w:p>
      <w:pPr>
        <w:pStyle w:val="Heading2"/>
        <w:keepNext/>
        <w:keepLines/>
      </w:pPr>
      <w:r>
        <w:t>When does the Act apply?</w:t>
      </w:r>
    </w:p>
    <w:p>
      <w:pPr/>
      <w:r>
        <w:t>The Act may apply partially , if:</w:t>
      </w:r>
    </w:p>
    <w:p>
      <w:pPr>
        <w:pStyle w:val="ListBullet"/>
      </w:pPr>
      <w:r>
        <w:t>1, 2 or 3 rooms are rented or available for rent, and</w:t>
      </w:r>
    </w:p>
    <w:p>
      <w:pPr>
        <w:pStyle w:val="ListBullet"/>
      </w:pPr>
      <w:r>
        <w:t>one or more rental bonds are taken, and</w:t>
      </w:r>
    </w:p>
    <w:p>
      <w:pPr>
        <w:pStyle w:val="ListBullet"/>
      </w:pPr>
      <w:r>
        <w:t>the property is the owner’s main residence.</w:t>
      </w:r>
    </w:p>
    <w:p>
      <w:pPr/>
      <w:r>
        <w:t>If a bond is taken, the sections of the Act that relate to rental bonds apply. More information on rental bonds can be found below.</w:t>
      </w:r>
    </w:p>
    <w:p>
      <w:pPr/>
      <w:r>
        <w:t>In these cases, other parts of the Act may not apply to your agreement, and you may need to seek independent legal advice. This includes the process for ending an agreement, the process for inspecting a room, and whether the tenant/resident can ask to keep a pet.</w:t>
      </w:r>
    </w:p>
    <w:p>
      <w:pPr/>
      <w:r>
        <w:t>The Act may apply completely , if:</w:t>
      </w:r>
    </w:p>
    <w:p>
      <w:pPr>
        <w:pStyle w:val="ListBullet"/>
      </w:pPr>
      <w:r>
        <w:t>4 or more rooms are rented or available for rent, or</w:t>
      </w:r>
    </w:p>
    <w:p>
      <w:pPr>
        <w:pStyle w:val="ListBullet"/>
      </w:pPr>
      <w:r>
        <w:t>a self-contained secondary dwelling is rented or available for rent.</w:t>
      </w:r>
    </w:p>
    <w:p>
      <w:pPr/>
      <w:r>
        <w:t>In these cases, your obligations and the type of tenancy agreement needed can vary. More information on the types of rental agreements can be found below.</w:t>
      </w:r>
    </w:p>
    <w:p>
      <w:pPr/>
      <w:r>
        <w:t>The Act may not apply , if:</w:t>
      </w:r>
    </w:p>
    <w:p>
      <w:pPr>
        <w:pStyle w:val="ListBullet"/>
      </w:pPr>
      <w:r>
        <w:t>1, 2 or 3 rooms are rented or available for rent, and</w:t>
      </w:r>
    </w:p>
    <w:p>
      <w:pPr>
        <w:pStyle w:val="ListBullet"/>
      </w:pPr>
      <w:r>
        <w:t>no rental bonds are taken, and</w:t>
      </w:r>
    </w:p>
    <w:p>
      <w:pPr>
        <w:pStyle w:val="ListBullet"/>
      </w:pPr>
      <w:r>
        <w:t>the property is the owner’s main residence.</w:t>
      </w:r>
    </w:p>
    <w:p>
      <w:pPr/>
      <w:r>
        <w:t>You may need to seek independent legal advice. The RTA cannot provide information and support for matters that aren’t covered under the Act.</w:t>
      </w:r>
    </w:p>
    <w:p>
      <w:pPr/>
      <w:r>
        <w:t>If you're unsure whether the Act applies, you can apply to the Queensland Civil and Administrative Tribunal (QCAT) for a determination.</w:t>
      </w:r>
    </w:p>
    <w:p>
      <w:pPr>
        <w:pStyle w:val="Heading2"/>
        <w:keepNext/>
        <w:keepLines/>
      </w:pPr>
      <w:r>
        <w:t>Rental bonds</w:t>
      </w:r>
    </w:p>
    <w:p>
      <w:pPr/>
      <w:r>
        <w:t>Property owners can take bond money as part of a rental agreement. The requirements for taking a bond include:</w:t>
      </w:r>
    </w:p>
    <w:p>
      <w:pPr>
        <w:keepNext/>
      </w:pPr>
      <w:r>
        <w:t>Property owners can request a maximum amount of bond of up to:</w:t>
      </w:r>
    </w:p>
    <w:p>
      <w:pPr>
        <w:pStyle w:val="ListBullet"/>
        <w:keepNext/>
      </w:pPr>
      <w:r>
        <w:t>4 weeks’ rent for general tenancies and rooming accommodation</w:t>
      </w:r>
    </w:p>
    <w:p>
      <w:pPr>
        <w:pStyle w:val="ListBullet"/>
        <w:keepNext/>
      </w:pPr>
      <w:r>
        <w:t>2 weeks’ rent for moveable dwellings</w:t>
      </w:r>
    </w:p>
    <w:p>
      <w:pPr>
        <w:pStyle w:val="ListBullet"/>
      </w:pPr>
      <w:r>
        <w:t>3 weeks’ rent for moveable dwellings if electricity is provided.</w:t>
      </w:r>
    </w:p>
    <w:p>
      <w:pPr>
        <w:pStyle w:val="ListBullet"/>
      </w:pPr>
      <w:r>
        <w:t>Lodging the bond with the RTA within 10 days. Bonds can be lodged online or by post with a Bond lodgement (Form 2) .</w:t>
      </w:r>
    </w:p>
    <w:p>
      <w:pPr>
        <w:pStyle w:val="ListBullet"/>
      </w:pPr>
      <w:r>
        <w:t>The property owner must give the tenant/resident a receipt for the bond .</w:t>
      </w:r>
    </w:p>
    <w:p>
      <w:pPr>
        <w:pStyle w:val="ListBullet"/>
      </w:pPr>
      <w:r>
        <w:t>The property owner may be required to give the tenant/resident appropriate supporting evidence when making a bond claim or disputing a bond. Whether the property owner needs to provide evidence depends on when the bond was lodged with the RTA.</w:t>
      </w:r>
    </w:p>
    <w:p>
      <w:pPr/>
      <w:r>
        <w:t>See our rental bonds page for more information.</w:t>
      </w:r>
    </w:p>
    <w:p>
      <w:pPr>
        <w:pStyle w:val="Heading2"/>
        <w:keepNext/>
        <w:keepLines/>
      </w:pPr>
      <w:r>
        <w:t>Written rental agreements</w:t>
      </w:r>
    </w:p>
    <w:p>
      <w:pPr/>
      <w:r>
        <w:t>The property owner must provide a written tenancy agreement in situations that are completely covered under the Act.</w:t>
      </w:r>
    </w:p>
    <w:p>
      <w:pPr/>
      <w:r>
        <w:t>Agreements may be a General tenancy agreement , Moveable dwelling agreement or Rooming accommodation agreement .</w:t>
      </w:r>
    </w:p>
    <w:p>
      <w:pPr/>
      <w:r>
        <w:t>For situations that are partially covered or not covered under the Act, we recommend confirming any agreement in writing. Property owners and tenants/residents may need to seek independent legal advice if the Act does not apply in full.</w:t>
      </w:r>
    </w:p>
    <w:p>
      <w:pPr>
        <w:pStyle w:val="Heading2"/>
        <w:keepNext/>
        <w:keepLines/>
      </w:pPr>
      <w:r>
        <w:t>Secondary dwellings</w:t>
      </w:r>
    </w:p>
    <w:p>
      <w:pPr/>
      <w:r>
        <w:t>A secondary dwelling is a dwelling that’s inside, attached to or separate from the main dwelling on a property. For example, granny flats are a common type of secondary dwelling.</w:t>
      </w:r>
    </w:p>
    <w:p>
      <w:pPr/>
      <w:r>
        <w:t>The type of tenancy agreement needed for a secondary dwelling depends on whether it’s self-contained or shares facilities with the main dwelling (e.g. kitchen, bathroom, laundry).</w:t>
      </w:r>
    </w:p>
    <w:p>
      <w:pPr>
        <w:pStyle w:val="Heading2"/>
        <w:keepNext/>
        <w:keepLines/>
      </w:pPr>
      <w:r>
        <w:t>Disputes about residential tenancies</w:t>
      </w:r>
    </w:p>
    <w:p>
      <w:pPr/>
      <w:r>
        <w:t>Tenancy issues may occur between any of the parties involved in a tenancy agreement.</w:t>
      </w:r>
    </w:p>
    <w:p>
      <w:pPr>
        <w:pStyle w:val="Heading3"/>
        <w:keepNext/>
        <w:keepLines/>
      </w:pPr>
      <w:r>
        <w:t>Disputes for agreements that are covered under the Act</w:t>
      </w:r>
    </w:p>
    <w:p>
      <w:pPr/>
      <w:r>
        <w:t>We encourage property owners and tenants/residents to try to self-resolve tenancy issues before taking any other action.</w:t>
      </w:r>
    </w:p>
    <w:p>
      <w:pPr/>
      <w:r>
        <w:t>If you cannot resolve the issue, you can apply for free dispute resolution with the RTA.</w:t>
      </w:r>
    </w:p>
    <w:p>
      <w:pPr/>
      <w:r>
        <w:t>If you cannot reach an agreement, or if the matter is unsuitable for RTA dispute resolution, you can apply to the Queensland Civil and Administrative Tribunal (QCAT) .</w:t>
      </w:r>
    </w:p>
    <w:p>
      <w:pPr>
        <w:pStyle w:val="Heading3"/>
        <w:keepNext/>
        <w:keepLines/>
      </w:pPr>
      <w:r>
        <w:t>Disputes for agreements that are not covered under the Act</w:t>
      </w:r>
    </w:p>
    <w:p>
      <w:pPr/>
      <w:r>
        <w:t>You may need to seek independent legal advice. The RTA cannot provide information and support for matters that aren’t covered under the Act.</w:t>
      </w:r>
    </w:p>
    <w:p>
      <w:pPr>
        <w:pStyle w:val="Heading2"/>
        <w:keepNext/>
        <w:keepLines/>
      </w:pPr>
      <w:r>
        <w:t>More information</w:t>
      </w:r>
    </w:p>
    <w:p>
      <w:pPr/>
      <w:r>
        <w:t>The RTA provides information, support and dispute resolution for rental bonds and agreements covered under the Act. You can contact us to learn more.</w:t>
      </w:r>
    </w:p>
    <w:p>
      <w:pPr/>
      <w:r>
        <w:t>Note : While the RTA makes every reasonable effort to ensure that information on this website is accurate at the time of publication, changes in circumstances after publication may impact on the accuracy of material. This disclaimer is in addition to and does not limit the application of the Residential Tenancies Authority website disclaimer .</w:t>
      </w:r>
    </w:p>
    <w:p>
      <w:pPr>
        <w:pStyle w:val="SourceLabel"/>
        <w:pageBreakBefore/>
      </w:pPr>
      <w:r>
        <w:t>S04 | NEW PROPERTY AUSTRALIA</w:t>
      </w:r>
    </w:p>
    <w:p>
      <w:bookmarkStart w:id="7" w:name="S04"/>
      <w:pPr>
        <w:pStyle w:val="Heading1"/>
        <w:keepNext/>
        <w:keepLines/>
      </w:pPr>
      <w:r>
        <w:t>Rooming House</w:t>
      </w:r>
      <w:bookmarkEnd w:id="7"/>
    </w:p>
    <w:p>
      <w:pPr>
        <w:pStyle w:val="SourceNote"/>
      </w:pPr>
      <w:r>
        <w:t>Property investment provider page | Commercial source</w:t>
      </w:r>
    </w:p>
    <w:p>
      <w:pPr/>
      <w:r>
        <w:t>New Property Australia is focused on guiding property investors on whether a rooming house is the right option. It can drive considerable return, but it’s not for everyone.</w:t>
      </w:r>
    </w:p>
    <w:p>
      <w:pPr>
        <w:pStyle w:val="Heading2"/>
        <w:keepNext/>
        <w:keepLines/>
      </w:pPr>
      <w:r>
        <w:t>What are Rooming houses?</w:t>
      </w:r>
    </w:p>
    <w:p>
      <w:pPr/>
      <w:r>
        <w:t>Rooming House investments offer the opportunity to lease each lettable space separately. By doing this, high yields are achievable, and in some cases 10% or better may be possible.</w:t>
      </w:r>
    </w:p>
    <w:p>
      <w:pPr/>
      <w:r>
        <w:t>Whilst each habitable space is self-contained, under Rooming House legislation there is a requirement for a common area that includes 1 shared laundry, kitchen and living area which allows the higher returns to be achieved. This does vary from council to council. Rents achieved from this type of dwelling are far higher than letting a single house in the same location.</w:t>
      </w:r>
    </w:p>
    <w:p>
      <w:pPr/>
      <w:r>
        <w:t>Rooming houses are managed by specialised and experienced Property Managers, who have each tenant sign a separate lease. Each lettable space is self-contained and includes an ensuite, small living area, kitchenette, and sometimes may have external access. The maintenance of the shared areas, plus the costs of water, electricity and Internet are the responsibility of the property owner. A Rooming House is a residential dwelling that is certified as class 1B, and specifically designed for separate tenancies. In Brisbane City Council Area, a Rooming House has a maximum of 5 lettable areas, with a maximum of 5 unrelated parties, and a total floor area no larger than 300m2.</w:t>
      </w:r>
    </w:p>
    <w:p>
      <w:pPr>
        <w:pStyle w:val="Heading2"/>
        <w:keepNext/>
        <w:keepLines/>
      </w:pPr>
      <w:r>
        <w:t>Benefits</w:t>
      </w:r>
    </w:p>
    <w:p>
      <w:pPr/>
      <w:r>
        <w:t>What are the unique gains for Rooming House prioerty investors:</w:t>
      </w:r>
    </w:p>
    <w:p>
      <w:pPr>
        <w:pStyle w:val="ListBullet"/>
      </w:pPr>
      <w:r>
        <w:t>Up to 5 separate rents for the one dwelling/block of land</w:t>
      </w:r>
    </w:p>
    <w:p>
      <w:pPr>
        <w:pStyle w:val="ListBullet"/>
      </w:pPr>
      <w:r>
        <w:t>For a low-density residential block this is the highest and best use of the land</w:t>
      </w:r>
    </w:p>
    <w:p>
      <w:pPr>
        <w:pStyle w:val="ListBullet"/>
      </w:pPr>
      <w:r>
        <w:t>Each room is completely independent and lockable</w:t>
      </w:r>
    </w:p>
    <w:p>
      <w:pPr>
        <w:pStyle w:val="ListBullet"/>
      </w:pPr>
      <w:r>
        <w:t>Risk mitigation by having separate leases. If one person moves out, there are still up to 4 rents coming in until a suitable replacement tenant is found.</w:t>
      </w:r>
    </w:p>
    <w:p>
      <w:pPr>
        <w:pStyle w:val="ListBullet"/>
      </w:pPr>
      <w:r>
        <w:t>Only one set of rates are payable for the property</w:t>
      </w:r>
    </w:p>
    <w:p>
      <w:pPr>
        <w:pStyle w:val="ListBullet"/>
      </w:pPr>
      <w:r>
        <w:t>It supplies affordable housing in locations where it may otherwise be unavailable</w:t>
      </w:r>
    </w:p>
    <w:p>
      <w:pPr>
        <w:pStyle w:val="ListBullet"/>
      </w:pPr>
      <w:r>
        <w:t>High depreciation due to the level of fixtures, fittings, and furniture etc</w:t>
      </w:r>
    </w:p>
    <w:p>
      <w:pPr>
        <w:pStyle w:val="ListBullet"/>
      </w:pPr>
      <w:r>
        <w:t>No Body Corporate fees</w:t>
      </w:r>
    </w:p>
    <w:p>
      <w:pPr>
        <w:pStyle w:val="ListBullet"/>
      </w:pPr>
      <w:r>
        <w:t>Supplies positive cash-flow and high rental yield to the investor</w:t>
      </w:r>
    </w:p>
    <w:p>
      <w:pPr>
        <w:pStyle w:val="ListBullet"/>
      </w:pPr>
      <w:r>
        <w:t>In many instances these properties are code assessable meaning they do not require any specialised development approval</w:t>
      </w:r>
    </w:p>
    <w:p>
      <w:pPr>
        <w:pStyle w:val="ListBullet"/>
      </w:pPr>
      <w:r>
        <w:t>Only one set of rates are payable for the property</w:t>
      </w:r>
    </w:p>
    <w:p>
      <w:pPr>
        <w:pStyle w:val="ListBullet"/>
      </w:pPr>
      <w:r>
        <w:t>In many instances these properties are code assessable meaning they do not require any specialised development approval.</w:t>
      </w:r>
    </w:p>
    <w:p>
      <w:pPr>
        <w:pStyle w:val="Heading2"/>
        <w:keepNext/>
        <w:keepLines/>
      </w:pPr>
      <w:r>
        <w:t>From The Street They Look Like An Attractive Home</w:t>
      </w:r>
    </w:p>
    <w:p>
      <w:pPr>
        <w:pStyle w:val="Heading3"/>
        <w:keepNext/>
        <w:keepLines/>
      </w:pPr>
      <w:r>
        <w:t>apartment-like studios</w:t>
      </w:r>
    </w:p>
    <w:p>
      <w:pPr/>
      <w:r>
        <w:t>Whilst on the outside, these Rooming House investments look like an attractive family home; on the inside, they have up to 5 semi-self contained apartment-like studios.</w:t>
      </w:r>
    </w:p>
    <w:p>
      <w:pPr/>
      <w:r>
        <w:t>These studios are specifically designed to be let out separately. Each of the studios has the following:</w:t>
      </w:r>
    </w:p>
    <w:p>
      <w:pPr>
        <w:pStyle w:val="ListBullet"/>
      </w:pPr>
      <w:r>
        <w:t>A kitchenette with rangehood, sink etc.</w:t>
      </w:r>
    </w:p>
    <w:p>
      <w:pPr>
        <w:pStyle w:val="ListBullet"/>
      </w:pPr>
      <w:r>
        <w:t>A full ensuite bathroom.</w:t>
      </w:r>
    </w:p>
    <w:p>
      <w:pPr>
        <w:pStyle w:val="ListBullet"/>
      </w:pPr>
      <w:r>
        <w:t>Lounge and sitting area</w:t>
      </w:r>
    </w:p>
    <w:p>
      <w:pPr>
        <w:pStyle w:val="ListBullet"/>
      </w:pPr>
      <w:r>
        <w:t>Robes and storage</w:t>
      </w:r>
    </w:p>
    <w:p>
      <w:pPr>
        <w:pStyle w:val="ListBullet"/>
      </w:pPr>
      <w:r>
        <w:t>Split system reverse-cycle air conditioners and ceiling fans.</w:t>
      </w:r>
    </w:p>
    <w:p>
      <w:pPr>
        <w:pStyle w:val="Heading2"/>
        <w:keepNext/>
        <w:keepLines/>
      </w:pPr>
      <w:r>
        <w:t>Rooming House Investments</w:t>
      </w:r>
    </w:p>
    <w:p>
      <w:pPr>
        <w:pStyle w:val="Heading3"/>
        <w:keepNext/>
        <w:keepLines/>
      </w:pPr>
      <w:r>
        <w:t>Higher Yields and less fees and hassles than apartment projects</w:t>
      </w:r>
    </w:p>
    <w:p>
      <w:pPr/>
      <w:r>
        <w:t>These Rooming House investments allow up to five rents from one property. It is similar to having an apartment development. However, If we were to build a comparable apartment project, we would face hundreds of thousands in associated fees from Council. This would include development costs, DA submissions, headworks, engineers, architects, town planners… the list goes on. Plus, we would need more expensive, higher density land. These fees, risks and uncertainty all diminish the yield and viability of an apartment project. But with a Rooming House, we are able to get approvals on a standard residential block of land.</w:t>
      </w:r>
    </w:p>
    <w:p>
      <w:pPr>
        <w:pStyle w:val="Heading2"/>
        <w:keepNext/>
        <w:keepLines/>
      </w:pPr>
      <w:r>
        <w:t>Major Demand for this type of studio apartment</w:t>
      </w:r>
    </w:p>
    <w:p>
      <w:pPr/>
      <w:r>
        <w:t>We have discovered a huge demand from young professional tenants for this type of self-contained product. This has only increased in recent times, with the increasing interstate migration putting pressure on an already stressed rental market. It is predicted that as the international borders re-open, this will only serve to exacerbate the situation.</w:t>
      </w:r>
    </w:p>
    <w:p>
      <w:pPr/>
      <w:r>
        <w:t>For our product, we target suburbs and areas where there is good demand from tenants and not and not of readily available comparative studio or 1-bedroom rentals.</w:t>
      </w:r>
    </w:p>
    <w:p>
      <w:pPr/>
      <w:r>
        <w:t>There are a substantial number of singles and couples who require one-bedroom and studio accommodation. According to the Australian Bureau of Statistics (ABS), 23.5% of the total Queensland households are single-person households, and 35.1% are two-person households.</w:t>
      </w:r>
    </w:p>
    <w:p>
      <w:pPr/>
      <w:r>
        <w:t>That suggests that 58.6% of the total households in Queensland are two persons or less. However, according to the ABS number of bedrooms per dwelling data, only 5.2% of dwellings in QLD are one-bedroom, and 15.7% are two bedrooms. Only 20.9% of homes have two bedrooms or less.</w:t>
      </w:r>
    </w:p>
    <w:p>
      <w:pPr/>
      <w:r>
        <w:t>So from the ABS data, it can be surmised that there is a massive disconnect between the number of people in a household and the number of bedrooms in available accommodation, with 58.6 % of households in QLD having two persons or less and close to 70% of the available accommodation being 3 – 5 bedrooms plus.</w:t>
      </w:r>
    </w:p>
    <w:p>
      <w:pPr/>
      <w:r>
        <w:t>Importantly for our studio accommodation, 23.5% of the population in QLD are single-person households, yet only 5.2% of the dwellings are one-bedroom or studio.</w:t>
      </w:r>
    </w:p>
    <w:p>
      <w:pPr/>
      <w:r>
        <w:t>This shows that Rooming House Investment properties serve as an essential and strategic class of investment property.</w:t>
      </w:r>
    </w:p>
    <w:p>
      <w:pPr>
        <w:pStyle w:val="Heading2"/>
        <w:keepNext/>
        <w:keepLines/>
      </w:pPr>
      <w:r>
        <w:t>deal directly with the builder and speak to an expert today!</w:t>
      </w:r>
    </w:p>
    <w:p>
      <w:pPr/>
      <w:r>
        <w:t>At New Property Australia, we have literally been involved in hundreds of new property builds for our clients. We are passionate about finding the best Rooming House investment opportunities for our clients and have an extensive network of industry professionals to allow us to offer the best high yielding properties.</w:t>
      </w:r>
    </w:p>
    <w:p>
      <w:pPr/>
      <w:r>
        <w:t>We use our team of building designers and draftspeople to offer the most aesthetic facades and effective floor plans. We then have our panel of approved builders tender for the build providing us with the best price and timeframe for the build. This enables us to offer our clients a well-designed and more competitive product.</w:t>
      </w:r>
    </w:p>
    <w:p>
      <w:pPr/>
      <w:r>
        <w:t>The rules regarding Rooming House properties can be complex, and in fact, they are different across every State and Council area. We have the expert staff and team members to be able to provide you with up to the minute advice on what you can build and how you can maximise your investment.</w:t>
      </w:r>
    </w:p>
    <w:p>
      <w:pPr>
        <w:pStyle w:val="SourceLabel"/>
        <w:pageBreakBefore/>
      </w:pPr>
      <w:r>
        <w:t>S05 | CT REAL ESTATE</w:t>
      </w:r>
    </w:p>
    <w:p>
      <w:bookmarkStart w:id="8" w:name="S05"/>
      <w:pPr>
        <w:pStyle w:val="Heading1"/>
        <w:keepNext/>
        <w:keepLines/>
      </w:pPr>
      <w:r>
        <w:t>Renting Out To Multiple Co-Tenants: What Are The Risks Involved?</w:t>
      </w:r>
      <w:bookmarkEnd w:id="8"/>
    </w:p>
    <w:p>
      <w:pPr>
        <w:pStyle w:val="SourceNote"/>
      </w:pPr>
      <w:r>
        <w:t>Property management article | Commercial source</w:t>
      </w:r>
    </w:p>
    <w:p>
      <w:pPr/>
      <w:r>
        <w:t>The most common way to rent out your property is to a single tenant but should you also start considering renting out to multiple tenants?</w:t>
      </w:r>
    </w:p>
    <w:p>
      <w:pPr/>
      <w:r>
        <w:t>In some cases, having multiple tenants can be financially advantageous but it does not come without risks.</w:t>
      </w:r>
    </w:p>
    <w:p>
      <w:pPr/>
      <w:r>
        <w:t>How do you decide? Below we look at some of the risks involved, but first, let’s understand what the different rental arrangements mean.</w:t>
      </w:r>
    </w:p>
    <w:p>
      <w:pPr>
        <w:pStyle w:val="Heading2"/>
        <w:keepNext/>
        <w:keepLines/>
      </w:pPr>
      <w:r>
        <w:t>Types Of Rental Arrangements</w:t>
      </w:r>
    </w:p>
    <w:p>
      <w:pPr/>
      <w:r>
        <w:t>There are 2 main ways that you can rent out your property:</w:t>
      </w:r>
    </w:p>
    <w:p>
      <w:pPr/>
      <w:r>
        <w:rPr>
          <w:b/>
        </w:rPr>
        <w:t>1. Rent out the whole unit under one contract</w:t>
      </w:r>
    </w:p>
    <w:p>
      <w:pPr/>
      <w:r>
        <w:t>Renting out to a single party involves only one contract, which means it’s fairly straightforward. This is the traditional method of renting out a property, making tenant management a lot easier .</w:t>
      </w:r>
    </w:p>
    <w:p>
      <w:pPr/>
      <w:r>
        <w:rPr>
          <w:b/>
        </w:rPr>
        <w:t>2. Rent out to multiple tenants under multiple contracts</w:t>
      </w:r>
    </w:p>
    <w:p>
      <w:pPr/>
      <w:r>
        <w:t>If a property has multiple rooms, there is the option of renting out the individual rooms to different tenants . This method of renting, referred to as rooming, is common in areas close to universities as students are usually not able to afford renting out an entire property on their own.</w:t>
      </w:r>
    </w:p>
    <w:p>
      <w:pPr/>
      <w:r>
        <w:t>A rooming house refers to a property where 4 or more people live together in rented rooms . The rooming house is managed by an operator, who also has the authority to decide who lives in the property without consulting residents .</w:t>
      </w:r>
    </w:p>
    <w:p>
      <w:pPr/>
      <w:r>
        <w:t>Renting out the rooms individually is an attempt at utilising the property to its full potential. Also, in some cases you could generate higher income from renting out to multiple tenants.</w:t>
      </w:r>
    </w:p>
    <w:p>
      <w:pPr>
        <w:pStyle w:val="Heading2"/>
        <w:keepNext/>
        <w:keepLines/>
      </w:pPr>
      <w:r>
        <w:t>Some Units May Work For Multiple Tenants</w:t>
      </w:r>
    </w:p>
    <w:p>
      <w:pPr/>
      <w:r>
        <w:t>Certain properties may be more appropriate for rooming vs. others. Such as, properties that are in close proximity to colleges or universities and have multiple rooms.</w:t>
      </w:r>
    </w:p>
    <w:p>
      <w:pPr/>
      <w:r>
        <w:t>Landed properties are typically more suitable for renting out to multiple tenants because there is more space and privacy involved. However, while renting out rooms in apartments to multiple tenants is also an option, this would depend on how much space is available.</w:t>
      </w:r>
    </w:p>
    <w:p>
      <w:pPr/>
      <w:r>
        <w:t>Having multiple tenants could mean more income. For example, you may only be able to rent out a whole unit to a family for $1500 but if you were to rent it out to multiple tenants, you could rent it at $600 per tenant . This is because, while $1800 may be too expensive for the family to bear, breaking up the charges between 3 tenants would be more affordable.</w:t>
      </w:r>
    </w:p>
    <w:p>
      <w:pPr/>
      <w:r>
        <w:t>All things considered, there are still risks to renting out to multiple tenants.</w:t>
      </w:r>
    </w:p>
    <w:p>
      <w:pPr>
        <w:pStyle w:val="Heading2"/>
        <w:keepNext/>
        <w:keepLines/>
      </w:pPr>
      <w:r>
        <w:t>What Are The Risks Of Renting To Multiple Co-Tenants?</w:t>
      </w:r>
    </w:p>
    <w:p>
      <w:pPr>
        <w:pStyle w:val="Heading3"/>
        <w:keepNext/>
        <w:keepLines/>
      </w:pPr>
      <w:r>
        <w:t>Shorter Leases</w:t>
      </w:r>
    </w:p>
    <w:p>
      <w:pPr/>
      <w:r>
        <w:t>Properties that rent out to multiple tenants tend to attract less reliable tenants which are only able to commit to short term leases .</w:t>
      </w:r>
    </w:p>
    <w:p>
      <w:pPr/>
      <w:r>
        <w:t>As we mentioned earlier, some of these tenants are university students that do not have stable incomes and therefore cannot commit to longer leases. Shorter leases would mean less certainty and the need to look for new tenants more frequently.</w:t>
      </w:r>
    </w:p>
    <w:p>
      <w:pPr>
        <w:pStyle w:val="Heading3"/>
        <w:keepNext/>
        <w:keepLines/>
      </w:pPr>
      <w:r>
        <w:t>Higher Maintenance Costs</w:t>
      </w:r>
    </w:p>
    <w:p>
      <w:pPr/>
      <w:r>
        <w:t>Home owners are responsible for maintaining common areas such as hallways, courtyards, parking lots etc . This also includes plumbing systems, roofing, heating and cooling systems and other maintenance costs involved in the home .</w:t>
      </w:r>
    </w:p>
    <w:p>
      <w:pPr/>
      <w:r>
        <w:t>Having more tenants would mean more wear and tear and may lead to higher maintenance costs. Keep in mind that each tenant may have their partners or friends dropping by and using the house.</w:t>
      </w:r>
    </w:p>
    <w:p>
      <w:pPr/>
      <w:r>
        <w:t>All of this can add up quite rapidly, which is why maintaining multiple tenant properties can end up being quite expensive.</w:t>
      </w:r>
    </w:p>
    <w:p>
      <w:pPr>
        <w:pStyle w:val="Heading3"/>
        <w:keepNext/>
        <w:keepLines/>
      </w:pPr>
      <w:r>
        <w:t>Requires A Licence</w:t>
      </w:r>
    </w:p>
    <w:p>
      <w:pPr/>
      <w:r>
        <w:t>Another thing you will need to rent out your property under rooming house arrangements is a rooming house operator licence. This falls under Section 16 of the Rooming House Operator Act and will require you to apply for the licence and provide necessary documentation. This will take time and cost you about $240 in fees.</w:t>
      </w:r>
    </w:p>
    <w:p>
      <w:pPr/>
      <w:r>
        <w:t>You will also need to register your house under Division 4 of Part 6 of the Public Health and Wellbeing Act 2008. Failure to do so can result in heavy penalties.</w:t>
      </w:r>
    </w:p>
    <w:p>
      <w:pPr>
        <w:pStyle w:val="Heading3"/>
        <w:keepNext/>
        <w:keepLines/>
      </w:pPr>
      <w:r>
        <w:t>Higher Chances Of Vacancy</w:t>
      </w:r>
    </w:p>
    <w:p>
      <w:pPr/>
      <w:r>
        <w:t>This relates to our first point where multiple tenant properties typically have shorter leases. In this case, there is a higher chance of a gap in waiting time when one tenant leaves and you’re looking to secure a new one, making it tricky to make full use of the space.</w:t>
      </w:r>
    </w:p>
    <w:p>
      <w:pPr/>
      <w:r>
        <w:t>If this happens, it might be more difficult to ensure that income received for renting out the property covers all expenses incurred.</w:t>
      </w:r>
    </w:p>
    <w:p>
      <w:pPr>
        <w:pStyle w:val="Heading3"/>
        <w:keepNext/>
        <w:keepLines/>
      </w:pPr>
      <w:r>
        <w:t>Less Stability</w:t>
      </w:r>
    </w:p>
    <w:p>
      <w:pPr/>
      <w:r>
        <w:t>If you’re renting out your property to multiple people, it is unlikely that you will be able to coordinate the lease periods. As such, rental returns may not be as steady.</w:t>
      </w:r>
    </w:p>
    <w:p>
      <w:pPr>
        <w:pStyle w:val="SourceLabel"/>
        <w:pageBreakBefore/>
      </w:pPr>
      <w:r>
        <w:t>S06 | REALTY8</w:t>
      </w:r>
    </w:p>
    <w:p>
      <w:bookmarkStart w:id="9" w:name="S06"/>
      <w:pPr>
        <w:pStyle w:val="Heading1"/>
        <w:keepNext/>
        <w:keepLines/>
      </w:pPr>
      <w:r>
        <w:t>Rooming Accommodation Specialists in Brisbane</w:t>
      </w:r>
      <w:bookmarkEnd w:id="9"/>
    </w:p>
    <w:p>
      <w:pPr>
        <w:pStyle w:val="SourceNote"/>
      </w:pPr>
      <w:r>
        <w:t>Property management service page | Queensland-focused commercial source</w:t>
      </w:r>
    </w:p>
    <w:p>
      <w:pPr/>
      <w:r>
        <w:t>Expert management for high-yield, multi-tenant properties — fully compliant, professionally managed, and designed to maximise your return.</w:t>
      </w:r>
    </w:p>
    <w:p>
      <w:pPr>
        <w:pStyle w:val="Heading2"/>
        <w:keepNext/>
        <w:keepLines/>
      </w:pPr>
      <w:r>
        <w:t>What is Rooming Accommodation?</w:t>
      </w:r>
    </w:p>
    <w:p>
      <w:pPr/>
      <w:r>
        <w:t>Rooming accommodation refers to properties where multiple tenants rent individual rooms and share common facilities such as kitchens, bathrooms, and living areas. These properties operate under a different regulatory framework in Queensland and require specialised management to ensure compliance, safety and profitability.</w:t>
      </w:r>
    </w:p>
    <w:p>
      <w:pPr>
        <w:pStyle w:val="Heading2"/>
        <w:keepNext/>
        <w:keepLines/>
      </w:pPr>
      <w:r>
        <w:t>Not Your Standard Rental Property</w:t>
      </w:r>
    </w:p>
    <w:p>
      <w:pPr/>
      <w:r>
        <w:t>Rooming accommodation involves a level of complexity that standard property management simply does not cover.</w:t>
      </w:r>
    </w:p>
    <w:tbl>
      <w:tblPr>
        <w:tblW w:type="dxa" w:w="10166"/>
        <w:jc w:val="center"/>
        <w:tblLayout w:type="fixed"/>
        <w:tblLook w:firstColumn="1" w:firstRow="1" w:lastColumn="0" w:lastRow="0" w:noHBand="0" w:noVBand="1" w:val="04A0"/>
        <w:tblBorders>
          <w:top w:val="single" w:sz="4" w:color="D5DFE2"/>
          <w:left w:val="nil" w:sz="4" w:color="D5DFE2"/>
          <w:bottom w:val="single" w:sz="4" w:color="D5DFE2"/>
          <w:right w:val="nil" w:sz="4" w:color="D5DFE2"/>
          <w:insideH w:val="single" w:sz="4" w:color="D5DFE2"/>
          <w:insideV w:val="nil" w:sz="4" w:color="D5DFE2"/>
        </w:tblBorders>
      </w:tblPr>
      <w:tblGrid>
        <w:gridCol w:w="3024"/>
        <w:gridCol w:w="7142"/>
      </w:tblGrid>
      <w:tr>
        <w:trPr>
          <w:cantSplit/>
          <w:tblHeader/>
        </w:trPr>
        <w:tc>
          <w:tcPr>
            <w:tcW w:type="dxa" w:w="3024"/>
            <w:vAlign w:val="center"/>
            <w:tcMar>
              <w:top w:w="85" w:type="dxa"/>
              <w:bottom w:w="85" w:type="dxa"/>
              <w:left w:w="105" w:type="dxa"/>
              <w:right w:w="105" w:type="dxa"/>
            </w:tcMar>
            <w:shd w:fill="EFF4F5"/>
          </w:tcPr>
          <w:p>
            <w:pPr>
              <w:pStyle w:val="TableHeader"/>
              <w:keepNext/>
            </w:pPr>
            <w:r>
              <w:t>Management feature</w:t>
            </w:r>
          </w:p>
        </w:tc>
        <w:tc>
          <w:tcPr>
            <w:tcW w:type="dxa" w:w="7142"/>
            <w:vAlign w:val="center"/>
            <w:tcMar>
              <w:top w:w="85" w:type="dxa"/>
              <w:bottom w:w="85" w:type="dxa"/>
              <w:left w:w="105" w:type="dxa"/>
              <w:right w:w="105" w:type="dxa"/>
            </w:tcMar>
            <w:shd w:fill="EFF4F5"/>
          </w:tcPr>
          <w:p>
            <w:pPr>
              <w:pStyle w:val="TableHeader"/>
              <w:keepNext/>
            </w:pPr>
            <w:r>
              <w:t>Source description</w:t>
            </w:r>
          </w:p>
        </w:tc>
      </w:tr>
      <w:tr>
        <w:trPr>
          <w:cantSplit/>
        </w:trPr>
        <w:tc>
          <w:tcPr>
            <w:tcW w:type="dxa" w:w="3024"/>
            <w:vAlign w:val="center"/>
            <w:tcMar>
              <w:top w:w="85" w:type="dxa"/>
              <w:bottom w:w="85" w:type="dxa"/>
              <w:left w:w="105" w:type="dxa"/>
              <w:right w:w="105" w:type="dxa"/>
            </w:tcMar>
          </w:tcPr>
          <w:p>
            <w:pPr>
              <w:pStyle w:val="TableText"/>
            </w:pPr>
            <w:r>
              <w:t>Multiple Tenancies</w:t>
            </w:r>
          </w:p>
        </w:tc>
        <w:tc>
          <w:tcPr>
            <w:tcW w:type="dxa" w:w="7142"/>
            <w:vAlign w:val="center"/>
            <w:tcMar>
              <w:top w:w="85" w:type="dxa"/>
              <w:bottom w:w="85" w:type="dxa"/>
              <w:left w:w="105" w:type="dxa"/>
              <w:right w:w="105" w:type="dxa"/>
            </w:tcMar>
          </w:tcPr>
          <w:p>
            <w:pPr>
              <w:pStyle w:val="TableText"/>
            </w:pPr>
            <w:r>
              <w:t>Multiple tenancy agreements per property with individual room leasing.</w:t>
            </w:r>
          </w:p>
        </w:tc>
      </w:tr>
      <w:tr>
        <w:trPr>
          <w:cantSplit/>
        </w:trPr>
        <w:tc>
          <w:tcPr>
            <w:tcW w:type="dxa" w:w="3024"/>
            <w:vAlign w:val="center"/>
            <w:tcMar>
              <w:top w:w="85" w:type="dxa"/>
              <w:bottom w:w="85" w:type="dxa"/>
              <w:left w:w="105" w:type="dxa"/>
              <w:right w:w="105" w:type="dxa"/>
            </w:tcMar>
          </w:tcPr>
          <w:p>
            <w:pPr>
              <w:pStyle w:val="TableText"/>
            </w:pPr>
            <w:r>
              <w:t>Room-by-Room Leasing</w:t>
            </w:r>
          </w:p>
        </w:tc>
        <w:tc>
          <w:tcPr>
            <w:tcW w:type="dxa" w:w="7142"/>
            <w:vAlign w:val="center"/>
            <w:tcMar>
              <w:top w:w="85" w:type="dxa"/>
              <w:bottom w:w="85" w:type="dxa"/>
              <w:left w:w="105" w:type="dxa"/>
              <w:right w:w="105" w:type="dxa"/>
            </w:tcMar>
          </w:tcPr>
          <w:p>
            <w:pPr>
              <w:pStyle w:val="TableText"/>
            </w:pPr>
            <w:r>
              <w:t>Each room requires its own pricing, marketing, tenant placement and management.</w:t>
            </w:r>
          </w:p>
        </w:tc>
      </w:tr>
      <w:tr>
        <w:trPr>
          <w:cantSplit/>
        </w:trPr>
        <w:tc>
          <w:tcPr>
            <w:tcW w:type="dxa" w:w="3024"/>
            <w:vAlign w:val="center"/>
            <w:tcMar>
              <w:top w:w="85" w:type="dxa"/>
              <w:bottom w:w="85" w:type="dxa"/>
              <w:left w:w="105" w:type="dxa"/>
              <w:right w:w="105" w:type="dxa"/>
            </w:tcMar>
          </w:tcPr>
          <w:p>
            <w:pPr>
              <w:pStyle w:val="TableText"/>
            </w:pPr>
            <w:r>
              <w:t>Higher Turnover</w:t>
            </w:r>
          </w:p>
        </w:tc>
        <w:tc>
          <w:tcPr>
            <w:tcW w:type="dxa" w:w="7142"/>
            <w:vAlign w:val="center"/>
            <w:tcMar>
              <w:top w:w="85" w:type="dxa"/>
              <w:bottom w:w="85" w:type="dxa"/>
              <w:left w:w="105" w:type="dxa"/>
              <w:right w:w="105" w:type="dxa"/>
            </w:tcMar>
          </w:tcPr>
          <w:p>
            <w:pPr>
              <w:pStyle w:val="TableText"/>
            </w:pPr>
            <w:r>
              <w:t>Rooming accommodation can involve more tenant movement than standard rentals.</w:t>
            </w:r>
          </w:p>
        </w:tc>
      </w:tr>
      <w:tr>
        <w:trPr>
          <w:cantSplit/>
        </w:trPr>
        <w:tc>
          <w:tcPr>
            <w:tcW w:type="dxa" w:w="3024"/>
            <w:vAlign w:val="center"/>
            <w:tcMar>
              <w:top w:w="85" w:type="dxa"/>
              <w:bottom w:w="85" w:type="dxa"/>
              <w:left w:w="105" w:type="dxa"/>
              <w:right w:w="105" w:type="dxa"/>
            </w:tcMar>
          </w:tcPr>
          <w:p>
            <w:pPr>
              <w:pStyle w:val="TableText"/>
            </w:pPr>
            <w:r>
              <w:t>Greater Compliance</w:t>
            </w:r>
          </w:p>
        </w:tc>
        <w:tc>
          <w:tcPr>
            <w:tcW w:type="dxa" w:w="7142"/>
            <w:vAlign w:val="center"/>
            <w:tcMar>
              <w:top w:w="85" w:type="dxa"/>
              <w:bottom w:w="85" w:type="dxa"/>
              <w:left w:w="105" w:type="dxa"/>
              <w:right w:w="105" w:type="dxa"/>
            </w:tcMar>
          </w:tcPr>
          <w:p>
            <w:pPr>
              <w:pStyle w:val="TableText"/>
            </w:pPr>
            <w:r>
              <w:t>More safety, documentation and operational obligations must be monitored.</w:t>
            </w:r>
          </w:p>
        </w:tc>
      </w:tr>
      <w:tr>
        <w:trPr>
          <w:cantSplit/>
        </w:trPr>
        <w:tc>
          <w:tcPr>
            <w:tcW w:type="dxa" w:w="3024"/>
            <w:vAlign w:val="center"/>
            <w:tcMar>
              <w:top w:w="85" w:type="dxa"/>
              <w:bottom w:w="85" w:type="dxa"/>
              <w:left w:w="105" w:type="dxa"/>
              <w:right w:w="105" w:type="dxa"/>
            </w:tcMar>
          </w:tcPr>
          <w:p>
            <w:pPr>
              <w:pStyle w:val="TableText"/>
            </w:pPr>
            <w:r>
              <w:t>Shared Spaces</w:t>
            </w:r>
          </w:p>
        </w:tc>
        <w:tc>
          <w:tcPr>
            <w:tcW w:type="dxa" w:w="7142"/>
            <w:vAlign w:val="center"/>
            <w:tcMar>
              <w:top w:w="85" w:type="dxa"/>
              <w:bottom w:w="85" w:type="dxa"/>
              <w:left w:w="105" w:type="dxa"/>
              <w:right w:w="105" w:type="dxa"/>
            </w:tcMar>
          </w:tcPr>
          <w:p>
            <w:pPr>
              <w:pStyle w:val="TableText"/>
            </w:pPr>
            <w:r>
              <w:t>Common areas need regular oversight to protect the property and tenant experience.</w:t>
            </w:r>
          </w:p>
        </w:tc>
      </w:tr>
      <w:tr>
        <w:trPr>
          <w:cantSplit/>
        </w:trPr>
        <w:tc>
          <w:tcPr>
            <w:tcW w:type="dxa" w:w="3024"/>
            <w:vAlign w:val="center"/>
            <w:tcMar>
              <w:top w:w="85" w:type="dxa"/>
              <w:bottom w:w="85" w:type="dxa"/>
              <w:left w:w="105" w:type="dxa"/>
              <w:right w:w="105" w:type="dxa"/>
            </w:tcMar>
          </w:tcPr>
          <w:p>
            <w:pPr>
              <w:pStyle w:val="TableText"/>
            </w:pPr>
            <w:r>
              <w:t>More Management</w:t>
            </w:r>
          </w:p>
        </w:tc>
        <w:tc>
          <w:tcPr>
            <w:tcW w:type="dxa" w:w="7142"/>
            <w:vAlign w:val="center"/>
            <w:tcMar>
              <w:top w:w="85" w:type="dxa"/>
              <w:bottom w:w="85" w:type="dxa"/>
              <w:left w:w="105" w:type="dxa"/>
              <w:right w:w="105" w:type="dxa"/>
            </w:tcMar>
          </w:tcPr>
          <w:p>
            <w:pPr>
              <w:pStyle w:val="TableText"/>
            </w:pPr>
            <w:r>
              <w:t>The model requires hands-on coordination, systems and regular communication.</w:t>
            </w:r>
          </w:p>
        </w:tc>
      </w:tr>
    </w:tbl>
    <w:p>
      <w:pPr>
        <w:spacing w:after="40" w:before="0" w:line="240" w:lineRule="auto"/>
      </w:pPr>
      <w:r>
        <w:rPr>
          <w:sz w:val="4"/>
        </w:rPr>
      </w:r>
    </w:p>
    <w:p>
      <w:pPr>
        <w:pStyle w:val="Heading2"/>
        <w:keepNext/>
        <w:keepLines/>
      </w:pPr>
      <w:r>
        <w:t>Residential Services Registration, Accreditation &amp; Compliance</w:t>
      </w:r>
    </w:p>
    <w:p>
      <w:pPr/>
      <w:r>
        <w:t>Rooming accommodation in Queensland may fall under Residential Services legislation, which can require registration and accreditation through the Department of Housing. These properties are also subject to strict compliance obligations covering safety, management and operational standards.</w:t>
      </w:r>
    </w:p>
    <w:tbl>
      <w:tblPr>
        <w:tblW w:type="dxa" w:w="10166"/>
        <w:jc w:val="center"/>
        <w:tblLayout w:type="fixed"/>
        <w:tblLook w:firstColumn="1" w:firstRow="1" w:lastColumn="0" w:lastRow="0" w:noHBand="0" w:noVBand="1" w:val="04A0"/>
        <w:tblBorders>
          <w:top w:val="single" w:sz="4" w:color="D5DFE2"/>
          <w:left w:val="nil" w:sz="4" w:color="D5DFE2"/>
          <w:bottom w:val="single" w:sz="4" w:color="D5DFE2"/>
          <w:right w:val="nil" w:sz="4" w:color="D5DFE2"/>
          <w:insideH w:val="single" w:sz="4" w:color="D5DFE2"/>
          <w:insideV w:val="nil" w:sz="4" w:color="D5DFE2"/>
        </w:tblBorders>
      </w:tblPr>
      <w:tblGrid>
        <w:gridCol w:w="3024"/>
        <w:gridCol w:w="7142"/>
      </w:tblGrid>
      <w:tr>
        <w:trPr>
          <w:cantSplit/>
          <w:tblHeader/>
        </w:trPr>
        <w:tc>
          <w:tcPr>
            <w:tcW w:type="dxa" w:w="3024"/>
            <w:vAlign w:val="center"/>
            <w:tcMar>
              <w:top w:w="85" w:type="dxa"/>
              <w:bottom w:w="85" w:type="dxa"/>
              <w:left w:w="105" w:type="dxa"/>
              <w:right w:w="105" w:type="dxa"/>
            </w:tcMar>
            <w:shd w:fill="EFF4F5"/>
          </w:tcPr>
          <w:p>
            <w:pPr>
              <w:pStyle w:val="TableHeader"/>
              <w:keepNext/>
            </w:pPr>
            <w:r>
              <w:t>Compliance topic</w:t>
            </w:r>
          </w:p>
        </w:tc>
        <w:tc>
          <w:tcPr>
            <w:tcW w:type="dxa" w:w="7142"/>
            <w:vAlign w:val="center"/>
            <w:tcMar>
              <w:top w:w="85" w:type="dxa"/>
              <w:bottom w:w="85" w:type="dxa"/>
              <w:left w:w="105" w:type="dxa"/>
              <w:right w:w="105" w:type="dxa"/>
            </w:tcMar>
            <w:shd w:fill="EFF4F5"/>
          </w:tcPr>
          <w:p>
            <w:pPr>
              <w:pStyle w:val="TableHeader"/>
              <w:keepNext/>
            </w:pPr>
            <w:r>
              <w:t>Source description</w:t>
            </w:r>
          </w:p>
        </w:tc>
      </w:tr>
      <w:tr>
        <w:trPr>
          <w:cantSplit/>
        </w:trPr>
        <w:tc>
          <w:tcPr>
            <w:tcW w:type="dxa" w:w="3024"/>
            <w:vAlign w:val="center"/>
            <w:tcMar>
              <w:top w:w="85" w:type="dxa"/>
              <w:bottom w:w="85" w:type="dxa"/>
              <w:left w:w="105" w:type="dxa"/>
              <w:right w:w="105" w:type="dxa"/>
            </w:tcMar>
          </w:tcPr>
          <w:p>
            <w:pPr>
              <w:pStyle w:val="TableText"/>
            </w:pPr>
            <w:r>
              <w:t>Residential Services Registration</w:t>
            </w:r>
          </w:p>
        </w:tc>
        <w:tc>
          <w:tcPr>
            <w:tcW w:type="dxa" w:w="7142"/>
            <w:vAlign w:val="center"/>
            <w:tcMar>
              <w:top w:w="85" w:type="dxa"/>
              <w:bottom w:w="85" w:type="dxa"/>
              <w:left w:w="105" w:type="dxa"/>
              <w:right w:w="105" w:type="dxa"/>
            </w:tcMar>
          </w:tcPr>
          <w:p>
            <w:pPr>
              <w:pStyle w:val="TableText"/>
            </w:pPr>
            <w:r>
              <w:t>Certain rooming accommodation properties must be registered as a residential service with the Department of Housing before they can legally operate.</w:t>
            </w:r>
          </w:p>
        </w:tc>
      </w:tr>
      <w:tr>
        <w:trPr>
          <w:cantSplit/>
        </w:trPr>
        <w:tc>
          <w:tcPr>
            <w:tcW w:type="dxa" w:w="3024"/>
            <w:vAlign w:val="center"/>
            <w:tcMar>
              <w:top w:w="85" w:type="dxa"/>
              <w:bottom w:w="85" w:type="dxa"/>
              <w:left w:w="105" w:type="dxa"/>
              <w:right w:w="105" w:type="dxa"/>
            </w:tcMar>
          </w:tcPr>
          <w:p>
            <w:pPr>
              <w:pStyle w:val="TableText"/>
            </w:pPr>
            <w:r>
              <w:t>Accreditation Requirements</w:t>
            </w:r>
          </w:p>
        </w:tc>
        <w:tc>
          <w:tcPr>
            <w:tcW w:type="dxa" w:w="7142"/>
            <w:vAlign w:val="center"/>
            <w:tcMar>
              <w:top w:w="85" w:type="dxa"/>
              <w:bottom w:w="85" w:type="dxa"/>
              <w:left w:w="105" w:type="dxa"/>
              <w:right w:w="105" w:type="dxa"/>
            </w:tcMar>
          </w:tcPr>
          <w:p>
            <w:pPr>
              <w:pStyle w:val="TableText"/>
            </w:pPr>
            <w:r>
              <w:t>Some properties must meet accreditation standards set by the Department of Housing, covering how the property is operated and managed.</w:t>
            </w:r>
          </w:p>
        </w:tc>
      </w:tr>
      <w:tr>
        <w:trPr>
          <w:cantSplit/>
        </w:trPr>
        <w:tc>
          <w:tcPr>
            <w:tcW w:type="dxa" w:w="3024"/>
            <w:vAlign w:val="center"/>
            <w:tcMar>
              <w:top w:w="85" w:type="dxa"/>
              <w:bottom w:w="85" w:type="dxa"/>
              <w:left w:w="105" w:type="dxa"/>
              <w:right w:w="105" w:type="dxa"/>
            </w:tcMar>
          </w:tcPr>
          <w:p>
            <w:pPr>
              <w:pStyle w:val="TableText"/>
            </w:pPr>
            <w:r>
              <w:t>Council Requirements</w:t>
            </w:r>
          </w:p>
        </w:tc>
        <w:tc>
          <w:tcPr>
            <w:tcW w:type="dxa" w:w="7142"/>
            <w:vAlign w:val="center"/>
            <w:tcMar>
              <w:top w:w="85" w:type="dxa"/>
              <w:bottom w:w="85" w:type="dxa"/>
              <w:left w:w="105" w:type="dxa"/>
              <w:right w:w="105" w:type="dxa"/>
            </w:tcMar>
          </w:tcPr>
          <w:p>
            <w:pPr>
              <w:pStyle w:val="TableText"/>
            </w:pPr>
            <w:r>
              <w:t>Local council requirements may apply depending on property type, location, number of occupants and intended use.</w:t>
            </w:r>
          </w:p>
        </w:tc>
      </w:tr>
      <w:tr>
        <w:trPr>
          <w:cantSplit/>
        </w:trPr>
        <w:tc>
          <w:tcPr>
            <w:tcW w:type="dxa" w:w="3024"/>
            <w:vAlign w:val="center"/>
            <w:tcMar>
              <w:top w:w="85" w:type="dxa"/>
              <w:bottom w:w="85" w:type="dxa"/>
              <w:left w:w="105" w:type="dxa"/>
              <w:right w:w="105" w:type="dxa"/>
            </w:tcMar>
          </w:tcPr>
          <w:p>
            <w:pPr>
              <w:pStyle w:val="TableText"/>
            </w:pPr>
            <w:r>
              <w:t>Correct Use Classification</w:t>
            </w:r>
          </w:p>
        </w:tc>
        <w:tc>
          <w:tcPr>
            <w:tcW w:type="dxa" w:w="7142"/>
            <w:vAlign w:val="center"/>
            <w:tcMar>
              <w:top w:w="85" w:type="dxa"/>
              <w:bottom w:w="85" w:type="dxa"/>
              <w:left w:w="105" w:type="dxa"/>
              <w:right w:w="105" w:type="dxa"/>
            </w:tcMar>
          </w:tcPr>
          <w:p>
            <w:pPr>
              <w:pStyle w:val="TableText"/>
            </w:pPr>
            <w:r>
              <w:t>The property must be assessed to ensure it is approved and suitable for rooming accommodation use.</w:t>
            </w:r>
          </w:p>
        </w:tc>
      </w:tr>
      <w:tr>
        <w:trPr>
          <w:cantSplit/>
        </w:trPr>
        <w:tc>
          <w:tcPr>
            <w:tcW w:type="dxa" w:w="3024"/>
            <w:vAlign w:val="center"/>
            <w:tcMar>
              <w:top w:w="85" w:type="dxa"/>
              <w:bottom w:w="85" w:type="dxa"/>
              <w:left w:w="105" w:type="dxa"/>
              <w:right w:w="105" w:type="dxa"/>
            </w:tcMar>
          </w:tcPr>
          <w:p>
            <w:pPr>
              <w:pStyle w:val="TableText"/>
            </w:pPr>
            <w:r>
              <w:t>Fire Safety Compliance</w:t>
            </w:r>
          </w:p>
        </w:tc>
        <w:tc>
          <w:tcPr>
            <w:tcW w:type="dxa" w:w="7142"/>
            <w:vAlign w:val="center"/>
            <w:tcMar>
              <w:top w:w="85" w:type="dxa"/>
              <w:bottom w:w="85" w:type="dxa"/>
              <w:left w:w="105" w:type="dxa"/>
              <w:right w:w="105" w:type="dxa"/>
            </w:tcMar>
          </w:tcPr>
          <w:p>
            <w:pPr>
              <w:pStyle w:val="TableText"/>
            </w:pPr>
            <w:r>
              <w:t>Fire safety systems must be tested every 6 months with proper documentation maintained.</w:t>
            </w:r>
          </w:p>
        </w:tc>
      </w:tr>
      <w:tr>
        <w:trPr>
          <w:cantSplit/>
        </w:trPr>
        <w:tc>
          <w:tcPr>
            <w:tcW w:type="dxa" w:w="3024"/>
            <w:vAlign w:val="center"/>
            <w:tcMar>
              <w:top w:w="85" w:type="dxa"/>
              <w:bottom w:w="85" w:type="dxa"/>
              <w:left w:w="105" w:type="dxa"/>
              <w:right w:w="105" w:type="dxa"/>
            </w:tcMar>
          </w:tcPr>
          <w:p>
            <w:pPr>
              <w:pStyle w:val="TableText"/>
            </w:pPr>
            <w:r>
              <w:t>Evacuation Requirements</w:t>
            </w:r>
          </w:p>
        </w:tc>
        <w:tc>
          <w:tcPr>
            <w:tcW w:type="dxa" w:w="7142"/>
            <w:vAlign w:val="center"/>
            <w:tcMar>
              <w:top w:w="85" w:type="dxa"/>
              <w:bottom w:w="85" w:type="dxa"/>
              <w:left w:w="105" w:type="dxa"/>
              <w:right w:w="105" w:type="dxa"/>
            </w:tcMar>
          </w:tcPr>
          <w:p>
            <w:pPr>
              <w:pStyle w:val="TableText"/>
            </w:pPr>
            <w:r>
              <w:t>Emergency evacuation exercises must be conducted every 12 months.</w:t>
            </w:r>
          </w:p>
        </w:tc>
      </w:tr>
      <w:tr>
        <w:trPr>
          <w:cantSplit/>
        </w:trPr>
        <w:tc>
          <w:tcPr>
            <w:tcW w:type="dxa" w:w="3024"/>
            <w:vAlign w:val="center"/>
            <w:tcMar>
              <w:top w:w="85" w:type="dxa"/>
              <w:bottom w:w="85" w:type="dxa"/>
              <w:left w:w="105" w:type="dxa"/>
              <w:right w:w="105" w:type="dxa"/>
            </w:tcMar>
          </w:tcPr>
          <w:p>
            <w:pPr>
              <w:pStyle w:val="TableText"/>
            </w:pPr>
            <w:r>
              <w:t>Housing Standards</w:t>
            </w:r>
          </w:p>
        </w:tc>
        <w:tc>
          <w:tcPr>
            <w:tcW w:type="dxa" w:w="7142"/>
            <w:vAlign w:val="center"/>
            <w:tcMar>
              <w:top w:w="85" w:type="dxa"/>
              <w:bottom w:w="85" w:type="dxa"/>
              <w:left w:w="105" w:type="dxa"/>
              <w:right w:w="105" w:type="dxa"/>
            </w:tcMar>
          </w:tcPr>
          <w:p>
            <w:pPr>
              <w:pStyle w:val="TableText"/>
            </w:pPr>
            <w:r>
              <w:t>Minimum housing standards and tenant safety obligations must be maintained at all times.</w:t>
            </w:r>
          </w:p>
        </w:tc>
      </w:tr>
      <w:tr>
        <w:trPr>
          <w:cantSplit/>
        </w:trPr>
        <w:tc>
          <w:tcPr>
            <w:tcW w:type="dxa" w:w="3024"/>
            <w:vAlign w:val="center"/>
            <w:tcMar>
              <w:top w:w="85" w:type="dxa"/>
              <w:bottom w:w="85" w:type="dxa"/>
              <w:left w:w="105" w:type="dxa"/>
              <w:right w:w="105" w:type="dxa"/>
            </w:tcMar>
          </w:tcPr>
          <w:p>
            <w:pPr>
              <w:pStyle w:val="TableText"/>
            </w:pPr>
            <w:r>
              <w:t>Documentation &amp; Agreements</w:t>
            </w:r>
          </w:p>
        </w:tc>
        <w:tc>
          <w:tcPr>
            <w:tcW w:type="dxa" w:w="7142"/>
            <w:vAlign w:val="center"/>
            <w:tcMar>
              <w:top w:w="85" w:type="dxa"/>
              <w:bottom w:w="85" w:type="dxa"/>
              <w:left w:w="105" w:type="dxa"/>
              <w:right w:w="105" w:type="dxa"/>
            </w:tcMar>
          </w:tcPr>
          <w:p>
            <w:pPr>
              <w:pStyle w:val="TableText"/>
            </w:pPr>
            <w:r>
              <w:t>Correct rooming accommodation agreements, records and notices are essential for compliant management.</w:t>
            </w:r>
          </w:p>
        </w:tc>
      </w:tr>
      <w:tr>
        <w:trPr>
          <w:cantSplit/>
        </w:trPr>
        <w:tc>
          <w:tcPr>
            <w:tcW w:type="dxa" w:w="3024"/>
            <w:vAlign w:val="center"/>
            <w:tcMar>
              <w:top w:w="85" w:type="dxa"/>
              <w:bottom w:w="85" w:type="dxa"/>
              <w:left w:w="105" w:type="dxa"/>
              <w:right w:w="105" w:type="dxa"/>
            </w:tcMar>
          </w:tcPr>
          <w:p>
            <w:pPr>
              <w:pStyle w:val="TableText"/>
            </w:pPr>
            <w:r>
              <w:t>Ongoing Compliance Monitoring</w:t>
            </w:r>
          </w:p>
        </w:tc>
        <w:tc>
          <w:tcPr>
            <w:tcW w:type="dxa" w:w="7142"/>
            <w:vAlign w:val="center"/>
            <w:tcMar>
              <w:top w:w="85" w:type="dxa"/>
              <w:bottom w:w="85" w:type="dxa"/>
              <w:left w:w="105" w:type="dxa"/>
              <w:right w:w="105" w:type="dxa"/>
            </w:tcMar>
          </w:tcPr>
          <w:p>
            <w:pPr>
              <w:pStyle w:val="TableText"/>
            </w:pPr>
            <w:r>
              <w:t>Registration, accreditation and safety obligations are not one-off tasks — they require continuous oversight.</w:t>
            </w:r>
          </w:p>
        </w:tc>
      </w:tr>
    </w:tbl>
    <w:p>
      <w:pPr>
        <w:spacing w:after="40" w:before="0" w:line="240" w:lineRule="auto"/>
      </w:pPr>
      <w:r>
        <w:rPr>
          <w:sz w:val="4"/>
        </w:rPr>
      </w:r>
    </w:p>
    <w:p>
      <w:pPr>
        <w:pStyle w:val="Heading2"/>
        <w:keepNext/>
        <w:keepLines/>
      </w:pPr>
      <w:r>
        <w:t>How Realty8 Manages Your Property</w:t>
      </w:r>
    </w:p>
    <w:p>
      <w:pPr/>
      <w:r>
        <w:t>We manage the day-to-day complexity so landlords can benefit from a structured, professional and compliant rooming accommodation model.</w:t>
      </w:r>
    </w:p>
    <w:tbl>
      <w:tblPr>
        <w:tblW w:type="dxa" w:w="10166"/>
        <w:jc w:val="center"/>
        <w:tblLayout w:type="fixed"/>
        <w:tblLook w:firstColumn="1" w:firstRow="1" w:lastColumn="0" w:lastRow="0" w:noHBand="0" w:noVBand="1" w:val="04A0"/>
        <w:tblBorders>
          <w:top w:val="single" w:sz="4" w:color="D5DFE2"/>
          <w:left w:val="nil" w:sz="4" w:color="D5DFE2"/>
          <w:bottom w:val="single" w:sz="4" w:color="D5DFE2"/>
          <w:right w:val="nil" w:sz="4" w:color="D5DFE2"/>
          <w:insideH w:val="single" w:sz="4" w:color="D5DFE2"/>
          <w:insideV w:val="nil" w:sz="4" w:color="D5DFE2"/>
        </w:tblBorders>
      </w:tblPr>
      <w:tblGrid>
        <w:gridCol w:w="3024"/>
        <w:gridCol w:w="7142"/>
      </w:tblGrid>
      <w:tr>
        <w:trPr>
          <w:cantSplit/>
          <w:tblHeader/>
        </w:trPr>
        <w:tc>
          <w:tcPr>
            <w:tcW w:type="dxa" w:w="3024"/>
            <w:vAlign w:val="center"/>
            <w:tcMar>
              <w:top w:w="85" w:type="dxa"/>
              <w:bottom w:w="85" w:type="dxa"/>
              <w:left w:w="105" w:type="dxa"/>
              <w:right w:w="105" w:type="dxa"/>
            </w:tcMar>
            <w:shd w:fill="EFF4F5"/>
          </w:tcPr>
          <w:p>
            <w:pPr>
              <w:pStyle w:val="TableHeader"/>
              <w:keepNext/>
            </w:pPr>
            <w:r>
              <w:t>Service</w:t>
            </w:r>
          </w:p>
        </w:tc>
        <w:tc>
          <w:tcPr>
            <w:tcW w:type="dxa" w:w="7142"/>
            <w:vAlign w:val="center"/>
            <w:tcMar>
              <w:top w:w="85" w:type="dxa"/>
              <w:bottom w:w="85" w:type="dxa"/>
              <w:left w:w="105" w:type="dxa"/>
              <w:right w:w="105" w:type="dxa"/>
            </w:tcMar>
            <w:shd w:fill="EFF4F5"/>
          </w:tcPr>
          <w:p>
            <w:pPr>
              <w:pStyle w:val="TableHeader"/>
              <w:keepNext/>
            </w:pPr>
            <w:r>
              <w:t>Source description</w:t>
            </w:r>
          </w:p>
        </w:tc>
      </w:tr>
      <w:tr>
        <w:trPr>
          <w:cantSplit/>
        </w:trPr>
        <w:tc>
          <w:tcPr>
            <w:tcW w:type="dxa" w:w="3024"/>
            <w:vAlign w:val="center"/>
            <w:tcMar>
              <w:top w:w="85" w:type="dxa"/>
              <w:bottom w:w="85" w:type="dxa"/>
              <w:left w:w="105" w:type="dxa"/>
              <w:right w:w="105" w:type="dxa"/>
            </w:tcMar>
          </w:tcPr>
          <w:p>
            <w:pPr>
              <w:pStyle w:val="TableText"/>
            </w:pPr>
            <w:r>
              <w:t>Tenant Placement</w:t>
            </w:r>
          </w:p>
        </w:tc>
        <w:tc>
          <w:tcPr>
            <w:tcW w:type="dxa" w:w="7142"/>
            <w:vAlign w:val="center"/>
            <w:tcMar>
              <w:top w:w="85" w:type="dxa"/>
              <w:bottom w:w="85" w:type="dxa"/>
              <w:left w:w="105" w:type="dxa"/>
              <w:right w:w="105" w:type="dxa"/>
            </w:tcMar>
          </w:tcPr>
          <w:p>
            <w:pPr>
              <w:pStyle w:val="TableText"/>
            </w:pPr>
            <w:r>
              <w:t>Careful tenant placement for each individual room.</w:t>
            </w:r>
          </w:p>
        </w:tc>
      </w:tr>
      <w:tr>
        <w:trPr>
          <w:cantSplit/>
        </w:trPr>
        <w:tc>
          <w:tcPr>
            <w:tcW w:type="dxa" w:w="3024"/>
            <w:vAlign w:val="center"/>
            <w:tcMar>
              <w:top w:w="85" w:type="dxa"/>
              <w:bottom w:w="85" w:type="dxa"/>
              <w:left w:w="105" w:type="dxa"/>
              <w:right w:w="105" w:type="dxa"/>
            </w:tcMar>
          </w:tcPr>
          <w:p>
            <w:pPr>
              <w:pStyle w:val="TableText"/>
            </w:pPr>
            <w:r>
              <w:t>Rent Optimisation</w:t>
            </w:r>
          </w:p>
        </w:tc>
        <w:tc>
          <w:tcPr>
            <w:tcW w:type="dxa" w:w="7142"/>
            <w:vAlign w:val="center"/>
            <w:tcMar>
              <w:top w:w="85" w:type="dxa"/>
              <w:bottom w:w="85" w:type="dxa"/>
              <w:left w:w="105" w:type="dxa"/>
              <w:right w:w="105" w:type="dxa"/>
            </w:tcMar>
          </w:tcPr>
          <w:p>
            <w:pPr>
              <w:pStyle w:val="TableText"/>
            </w:pPr>
            <w:r>
              <w:t>Strategic rent optimisation to improve overall yield.</w:t>
            </w:r>
          </w:p>
        </w:tc>
      </w:tr>
      <w:tr>
        <w:trPr>
          <w:cantSplit/>
        </w:trPr>
        <w:tc>
          <w:tcPr>
            <w:tcW w:type="dxa" w:w="3024"/>
            <w:vAlign w:val="center"/>
            <w:tcMar>
              <w:top w:w="85" w:type="dxa"/>
              <w:bottom w:w="85" w:type="dxa"/>
              <w:left w:w="105" w:type="dxa"/>
              <w:right w:w="105" w:type="dxa"/>
            </w:tcMar>
          </w:tcPr>
          <w:p>
            <w:pPr>
              <w:pStyle w:val="TableText"/>
            </w:pPr>
            <w:r>
              <w:t>Routine Inspections</w:t>
            </w:r>
          </w:p>
        </w:tc>
        <w:tc>
          <w:tcPr>
            <w:tcW w:type="dxa" w:w="7142"/>
            <w:vAlign w:val="center"/>
            <w:tcMar>
              <w:top w:w="85" w:type="dxa"/>
              <w:bottom w:w="85" w:type="dxa"/>
              <w:left w:w="105" w:type="dxa"/>
              <w:right w:w="105" w:type="dxa"/>
            </w:tcMar>
          </w:tcPr>
          <w:p>
            <w:pPr>
              <w:pStyle w:val="TableText"/>
            </w:pPr>
            <w:r>
              <w:t>Regular inspections and clear reporting for landlords.</w:t>
            </w:r>
          </w:p>
        </w:tc>
      </w:tr>
      <w:tr>
        <w:trPr>
          <w:cantSplit/>
        </w:trPr>
        <w:tc>
          <w:tcPr>
            <w:tcW w:type="dxa" w:w="3024"/>
            <w:vAlign w:val="center"/>
            <w:tcMar>
              <w:top w:w="85" w:type="dxa"/>
              <w:bottom w:w="85" w:type="dxa"/>
              <w:left w:w="105" w:type="dxa"/>
              <w:right w:w="105" w:type="dxa"/>
            </w:tcMar>
          </w:tcPr>
          <w:p>
            <w:pPr>
              <w:pStyle w:val="TableText"/>
            </w:pPr>
            <w:r>
              <w:t>Maintenance</w:t>
            </w:r>
          </w:p>
        </w:tc>
        <w:tc>
          <w:tcPr>
            <w:tcW w:type="dxa" w:w="7142"/>
            <w:vAlign w:val="center"/>
            <w:tcMar>
              <w:top w:w="85" w:type="dxa"/>
              <w:bottom w:w="85" w:type="dxa"/>
              <w:left w:w="105" w:type="dxa"/>
              <w:right w:w="105" w:type="dxa"/>
            </w:tcMar>
          </w:tcPr>
          <w:p>
            <w:pPr>
              <w:pStyle w:val="TableText"/>
            </w:pPr>
            <w:r>
              <w:t>Maintenance coordination for private rooms and shared areas.</w:t>
            </w:r>
          </w:p>
        </w:tc>
      </w:tr>
      <w:tr>
        <w:trPr>
          <w:cantSplit/>
        </w:trPr>
        <w:tc>
          <w:tcPr>
            <w:tcW w:type="dxa" w:w="3024"/>
            <w:vAlign w:val="center"/>
            <w:tcMar>
              <w:top w:w="85" w:type="dxa"/>
              <w:bottom w:w="85" w:type="dxa"/>
              <w:left w:w="105" w:type="dxa"/>
              <w:right w:w="105" w:type="dxa"/>
            </w:tcMar>
          </w:tcPr>
          <w:p>
            <w:pPr>
              <w:pStyle w:val="TableText"/>
            </w:pPr>
            <w:r>
              <w:t>Rent Collection</w:t>
            </w:r>
          </w:p>
        </w:tc>
        <w:tc>
          <w:tcPr>
            <w:tcW w:type="dxa" w:w="7142"/>
            <w:vAlign w:val="center"/>
            <w:tcMar>
              <w:top w:w="85" w:type="dxa"/>
              <w:bottom w:w="85" w:type="dxa"/>
              <w:left w:w="105" w:type="dxa"/>
              <w:right w:w="105" w:type="dxa"/>
            </w:tcMar>
          </w:tcPr>
          <w:p>
            <w:pPr>
              <w:pStyle w:val="TableText"/>
            </w:pPr>
            <w:r>
              <w:t>Rent collection and tracking across multiple occupants.</w:t>
            </w:r>
          </w:p>
        </w:tc>
      </w:tr>
      <w:tr>
        <w:trPr>
          <w:cantSplit/>
        </w:trPr>
        <w:tc>
          <w:tcPr>
            <w:tcW w:type="dxa" w:w="3024"/>
            <w:vAlign w:val="center"/>
            <w:tcMar>
              <w:top w:w="85" w:type="dxa"/>
              <w:bottom w:w="85" w:type="dxa"/>
              <w:left w:w="105" w:type="dxa"/>
              <w:right w:w="105" w:type="dxa"/>
            </w:tcMar>
          </w:tcPr>
          <w:p>
            <w:pPr>
              <w:pStyle w:val="TableText"/>
            </w:pPr>
            <w:r>
              <w:t>Compliance Monitoring</w:t>
            </w:r>
          </w:p>
        </w:tc>
        <w:tc>
          <w:tcPr>
            <w:tcW w:type="dxa" w:w="7142"/>
            <w:vAlign w:val="center"/>
            <w:tcMar>
              <w:top w:w="85" w:type="dxa"/>
              <w:bottom w:w="85" w:type="dxa"/>
              <w:left w:w="105" w:type="dxa"/>
              <w:right w:w="105" w:type="dxa"/>
            </w:tcMar>
          </w:tcPr>
          <w:p>
            <w:pPr>
              <w:pStyle w:val="TableText"/>
            </w:pPr>
            <w:r>
              <w:t>Ongoing monitoring of compliance and safety obligations.</w:t>
            </w:r>
          </w:p>
        </w:tc>
      </w:tr>
    </w:tbl>
    <w:p>
      <w:pPr>
        <w:spacing w:after="40" w:before="0" w:line="240" w:lineRule="auto"/>
      </w:pPr>
      <w:r>
        <w:rPr>
          <w:sz w:val="4"/>
        </w:rPr>
      </w:r>
    </w:p>
    <w:p>
      <w:pPr>
        <w:pStyle w:val="Heading2"/>
        <w:keepNext/>
        <w:keepLines/>
      </w:pPr>
      <w:r>
        <w:t>Higher Yield, Managed the Right Way</w:t>
      </w:r>
    </w:p>
    <w:p>
      <w:pPr/>
      <w:r>
        <w:t>Rooming accommodation can deliver significantly higher rental returns compared to traditional leasing. However, without proper management and compliance, the risks can quickly outweigh the benefits. Realty8 ensures your investment is structured, managed and optimised for long-term success.</w:t>
      </w:r>
    </w:p>
    <w:p>
      <w:pPr>
        <w:pStyle w:val="Heading2"/>
        <w:keepNext/>
        <w:keepLines/>
        <w:pageBreakBefore/>
      </w:pPr>
      <w:r>
        <w:t>Frequently Asked Questions</w:t>
      </w:r>
    </w:p>
    <w:p>
      <w:pPr/>
      <w:r>
        <w:t>Common questions from landlords considering rooming accommodation management.</w:t>
      </w:r>
    </w:p>
    <w:tbl>
      <w:tblPr>
        <w:tblW w:type="dxa" w:w="10166"/>
        <w:jc w:val="center"/>
        <w:tblLayout w:type="fixed"/>
        <w:tblLook w:firstColumn="1" w:firstRow="1" w:lastColumn="0" w:lastRow="0" w:noHBand="0" w:noVBand="1" w:val="04A0"/>
        <w:tblBorders>
          <w:top w:val="single" w:sz="4" w:color="D5DFE2"/>
          <w:left w:val="nil" w:sz="4" w:color="D5DFE2"/>
          <w:bottom w:val="single" w:sz="4" w:color="D5DFE2"/>
          <w:right w:val="nil" w:sz="4" w:color="D5DFE2"/>
          <w:insideH w:val="single" w:sz="4" w:color="D5DFE2"/>
          <w:insideV w:val="nil" w:sz="4" w:color="D5DFE2"/>
        </w:tblBorders>
      </w:tblPr>
      <w:tblGrid>
        <w:gridCol w:w="3888"/>
        <w:gridCol w:w="6278"/>
      </w:tblGrid>
      <w:tr>
        <w:trPr>
          <w:cantSplit/>
          <w:tblHeader/>
        </w:trPr>
        <w:tc>
          <w:tcPr>
            <w:tcW w:type="dxa" w:w="3888"/>
            <w:vAlign w:val="center"/>
            <w:tcMar>
              <w:top w:w="85" w:type="dxa"/>
              <w:bottom w:w="85" w:type="dxa"/>
              <w:left w:w="105" w:type="dxa"/>
              <w:right w:w="105" w:type="dxa"/>
            </w:tcMar>
            <w:shd w:fill="EFF4F5"/>
          </w:tcPr>
          <w:p>
            <w:pPr>
              <w:pStyle w:val="TableHeader"/>
              <w:keepNext/>
            </w:pPr>
            <w:r>
              <w:t>Question</w:t>
            </w:r>
          </w:p>
        </w:tc>
        <w:tc>
          <w:tcPr>
            <w:tcW w:type="dxa" w:w="6278"/>
            <w:vAlign w:val="center"/>
            <w:tcMar>
              <w:top w:w="85" w:type="dxa"/>
              <w:bottom w:w="85" w:type="dxa"/>
              <w:left w:w="105" w:type="dxa"/>
              <w:right w:w="105" w:type="dxa"/>
            </w:tcMar>
            <w:shd w:fill="EFF4F5"/>
          </w:tcPr>
          <w:p>
            <w:pPr>
              <w:pStyle w:val="TableHeader"/>
              <w:keepNext/>
            </w:pPr>
            <w:r>
              <w:t>Source answer</w:t>
            </w:r>
          </w:p>
        </w:tc>
      </w:tr>
      <w:tr>
        <w:trPr>
          <w:cantSplit/>
        </w:trPr>
        <w:tc>
          <w:tcPr>
            <w:tcW w:type="dxa" w:w="3888"/>
            <w:vAlign w:val="center"/>
            <w:tcMar>
              <w:top w:w="85" w:type="dxa"/>
              <w:bottom w:w="85" w:type="dxa"/>
              <w:left w:w="105" w:type="dxa"/>
              <w:right w:w="105" w:type="dxa"/>
            </w:tcMar>
          </w:tcPr>
          <w:p>
            <w:pPr>
              <w:pStyle w:val="TableText"/>
            </w:pPr>
            <w:r>
              <w:t>What is rooming accommodation in Queensland?</w:t>
            </w:r>
          </w:p>
        </w:tc>
        <w:tc>
          <w:tcPr>
            <w:tcW w:type="dxa" w:w="6278"/>
            <w:vAlign w:val="center"/>
            <w:tcMar>
              <w:top w:w="85" w:type="dxa"/>
              <w:bottom w:w="85" w:type="dxa"/>
              <w:left w:w="105" w:type="dxa"/>
              <w:right w:w="105" w:type="dxa"/>
            </w:tcMar>
          </w:tcPr>
          <w:p>
            <w:pPr>
              <w:pStyle w:val="TableText"/>
            </w:pPr>
            <w:r>
              <w:t>It refers to properties where tenants rent individual rooms and share facilities, governed by specific tenancy laws.</w:t>
            </w:r>
          </w:p>
        </w:tc>
      </w:tr>
      <w:tr>
        <w:trPr>
          <w:cantSplit/>
        </w:trPr>
        <w:tc>
          <w:tcPr>
            <w:tcW w:type="dxa" w:w="3888"/>
            <w:vAlign w:val="center"/>
            <w:tcMar>
              <w:top w:w="85" w:type="dxa"/>
              <w:bottom w:w="85" w:type="dxa"/>
              <w:left w:w="105" w:type="dxa"/>
              <w:right w:w="105" w:type="dxa"/>
            </w:tcMar>
          </w:tcPr>
          <w:p>
            <w:pPr>
              <w:pStyle w:val="TableText"/>
            </w:pPr>
            <w:r>
              <w:t>Do I need council approval?</w:t>
            </w:r>
          </w:p>
        </w:tc>
        <w:tc>
          <w:tcPr>
            <w:tcW w:type="dxa" w:w="6278"/>
            <w:vAlign w:val="center"/>
            <w:tcMar>
              <w:top w:w="85" w:type="dxa"/>
              <w:bottom w:w="85" w:type="dxa"/>
              <w:left w:w="105" w:type="dxa"/>
              <w:right w:w="105" w:type="dxa"/>
            </w:tcMar>
          </w:tcPr>
          <w:p>
            <w:pPr>
              <w:pStyle w:val="TableText"/>
            </w:pPr>
            <w:r>
              <w:t>Depending on the property setup and number of occupants, council approval may be required.</w:t>
            </w:r>
          </w:p>
        </w:tc>
      </w:tr>
      <w:tr>
        <w:trPr>
          <w:cantSplit/>
        </w:trPr>
        <w:tc>
          <w:tcPr>
            <w:tcW w:type="dxa" w:w="3888"/>
            <w:vAlign w:val="center"/>
            <w:tcMar>
              <w:top w:w="85" w:type="dxa"/>
              <w:bottom w:w="85" w:type="dxa"/>
              <w:left w:w="105" w:type="dxa"/>
              <w:right w:w="105" w:type="dxa"/>
            </w:tcMar>
          </w:tcPr>
          <w:p>
            <w:pPr>
              <w:pStyle w:val="TableText"/>
            </w:pPr>
            <w:r>
              <w:t>Is it more profitable than standard renting?</w:t>
            </w:r>
          </w:p>
        </w:tc>
        <w:tc>
          <w:tcPr>
            <w:tcW w:type="dxa" w:w="6278"/>
            <w:vAlign w:val="center"/>
            <w:tcMar>
              <w:top w:w="85" w:type="dxa"/>
              <w:bottom w:w="85" w:type="dxa"/>
              <w:left w:w="105" w:type="dxa"/>
              <w:right w:w="105" w:type="dxa"/>
            </w:tcMar>
          </w:tcPr>
          <w:p>
            <w:pPr>
              <w:pStyle w:val="TableText"/>
            </w:pPr>
            <w:r>
              <w:t>It can be, due to multiple income streams from each room, but it requires proper management and compliance.</w:t>
            </w:r>
          </w:p>
        </w:tc>
      </w:tr>
      <w:tr>
        <w:trPr>
          <w:cantSplit/>
        </w:trPr>
        <w:tc>
          <w:tcPr>
            <w:tcW w:type="dxa" w:w="3888"/>
            <w:vAlign w:val="center"/>
            <w:tcMar>
              <w:top w:w="85" w:type="dxa"/>
              <w:bottom w:w="85" w:type="dxa"/>
              <w:left w:w="105" w:type="dxa"/>
              <w:right w:w="105" w:type="dxa"/>
            </w:tcMar>
          </w:tcPr>
          <w:p>
            <w:pPr>
              <w:pStyle w:val="TableText"/>
            </w:pPr>
            <w:r>
              <w:t>Who pays utilities?</w:t>
            </w:r>
          </w:p>
        </w:tc>
        <w:tc>
          <w:tcPr>
            <w:tcW w:type="dxa" w:w="6278"/>
            <w:vAlign w:val="center"/>
            <w:tcMar>
              <w:top w:w="85" w:type="dxa"/>
              <w:bottom w:w="85" w:type="dxa"/>
              <w:left w:w="105" w:type="dxa"/>
              <w:right w:w="105" w:type="dxa"/>
            </w:tcMar>
          </w:tcPr>
          <w:p>
            <w:pPr>
              <w:pStyle w:val="TableText"/>
            </w:pPr>
            <w:r>
              <w:t>Utilities are normally included in rent.</w:t>
            </w:r>
          </w:p>
        </w:tc>
      </w:tr>
      <w:tr>
        <w:trPr>
          <w:cantSplit/>
        </w:trPr>
        <w:tc>
          <w:tcPr>
            <w:tcW w:type="dxa" w:w="3888"/>
            <w:vAlign w:val="center"/>
            <w:tcMar>
              <w:top w:w="85" w:type="dxa"/>
              <w:bottom w:w="85" w:type="dxa"/>
              <w:left w:w="105" w:type="dxa"/>
              <w:right w:w="105" w:type="dxa"/>
            </w:tcMar>
          </w:tcPr>
          <w:p>
            <w:pPr>
              <w:pStyle w:val="TableText"/>
            </w:pPr>
            <w:r>
              <w:t>How often are inspections carried out?</w:t>
            </w:r>
          </w:p>
        </w:tc>
        <w:tc>
          <w:tcPr>
            <w:tcW w:type="dxa" w:w="6278"/>
            <w:vAlign w:val="center"/>
            <w:tcMar>
              <w:top w:w="85" w:type="dxa"/>
              <w:bottom w:w="85" w:type="dxa"/>
              <w:left w:w="105" w:type="dxa"/>
              <w:right w:w="105" w:type="dxa"/>
            </w:tcMar>
          </w:tcPr>
          <w:p>
            <w:pPr>
              <w:pStyle w:val="TableText"/>
            </w:pPr>
            <w:r>
              <w:t>Inspections are conducted regularly to monitor safety, cleanliness, maintenance and compliance.</w:t>
            </w:r>
          </w:p>
        </w:tc>
      </w:tr>
      <w:tr>
        <w:trPr>
          <w:cantSplit/>
        </w:trPr>
        <w:tc>
          <w:tcPr>
            <w:tcW w:type="dxa" w:w="3888"/>
            <w:vAlign w:val="center"/>
            <w:tcMar>
              <w:top w:w="85" w:type="dxa"/>
              <w:bottom w:w="85" w:type="dxa"/>
              <w:left w:w="105" w:type="dxa"/>
              <w:right w:w="105" w:type="dxa"/>
            </w:tcMar>
          </w:tcPr>
          <w:p>
            <w:pPr>
              <w:pStyle w:val="TableText"/>
            </w:pPr>
            <w:r>
              <w:t>What are fire safety requirements?</w:t>
            </w:r>
          </w:p>
        </w:tc>
        <w:tc>
          <w:tcPr>
            <w:tcW w:type="dxa" w:w="6278"/>
            <w:vAlign w:val="center"/>
            <w:tcMar>
              <w:top w:w="85" w:type="dxa"/>
              <w:bottom w:w="85" w:type="dxa"/>
              <w:left w:w="105" w:type="dxa"/>
              <w:right w:w="105" w:type="dxa"/>
            </w:tcMar>
          </w:tcPr>
          <w:p>
            <w:pPr>
              <w:pStyle w:val="TableText"/>
            </w:pPr>
            <w:r>
              <w:t>Fire systems must be tested every 6 months and evacuation exercises conducted every 12 months.</w:t>
            </w:r>
          </w:p>
        </w:tc>
      </w:tr>
    </w:tbl>
    <w:p>
      <w:pPr>
        <w:spacing w:after="40" w:before="0" w:line="240" w:lineRule="auto"/>
      </w:pPr>
      <w:r>
        <w:rPr>
          <w:sz w:val="4"/>
        </w:rPr>
      </w:r>
    </w:p>
    <w:p>
      <w:pPr>
        <w:pStyle w:val="Heading2"/>
        <w:keepNext/>
        <w:keepLines/>
      </w:pPr>
      <w:r>
        <w:t>Own or considering a rooming accommodation property?</w:t>
      </w:r>
    </w:p>
    <w:p>
      <w:pPr/>
      <w:r>
        <w:t>Speak with Realty8 about specialist management that maximises return, reduces risk and keeps your property compliant.</w:t>
      </w:r>
    </w:p>
    <w:p>
      <w:pPr>
        <w:pStyle w:val="SourceLabel"/>
        <w:pageBreakBefore/>
      </w:pPr>
      <w:r>
        <w:t>S07 | BUYERS AGENCY CO</w:t>
      </w:r>
    </w:p>
    <w:p>
      <w:bookmarkStart w:id="10" w:name="S07"/>
      <w:pPr>
        <w:pStyle w:val="Heading1"/>
        <w:keepNext/>
        <w:keepLines/>
      </w:pPr>
      <w:r>
        <w:t>Want to double your rental yield? Go HMO</w:t>
      </w:r>
      <w:bookmarkEnd w:id="10"/>
    </w:p>
    <w:p>
      <w:pPr>
        <w:pStyle w:val="SourceNote"/>
      </w:pPr>
      <w:r>
        <w:t>Buyer agency article | Commercial source</w:t>
      </w:r>
    </w:p>
    <w:p>
      <w:pPr/>
      <w:r>
        <w:t>Yep, you read that right. Double.</w:t>
      </w:r>
    </w:p>
    <w:p>
      <w:pPr/>
      <w:r>
        <w:t>A typical gross rental yield of 5% will likely jump up to 10%+  if you lease the same property under the HMO – or ‘rent by the room’ – model. In today’s market, it’s a great way to provide much needed affordable accommodation for singles and couples AND make you more money as an investor.</w:t>
      </w:r>
    </w:p>
    <w:p>
      <w:pPr>
        <w:pStyle w:val="Heading2"/>
        <w:keepNext/>
        <w:keepLines/>
      </w:pPr>
      <w:r>
        <w:t>What is a HMO?</w:t>
      </w:r>
    </w:p>
    <w:p>
      <w:pPr/>
      <w:r>
        <w:t>A House – Multiple Occupants (HMO) is a residential property that looks just like any other house on a street, but inside it is shared by several tenants who are not from a single household (ie. who are not members of the same family). Generally, each of these tenants have their own bedroom, but share access to communal areas such as the living room, kitchen and garden.</w:t>
      </w:r>
    </w:p>
    <w:p>
      <w:pPr/>
      <w:r>
        <w:t>HMO rentals aren’t really suitable for families. However, they are in great demand among students, professional singles and couples saving for their first home, single senior pensioners (who sadly these days often can’t afford their own place) and new arrivals into the country who need an anchor point as they work out their plans.</w:t>
      </w:r>
    </w:p>
    <w:p>
      <w:pPr>
        <w:pStyle w:val="Heading2"/>
        <w:keepNext/>
        <w:keepLines/>
      </w:pPr>
      <w:r>
        <w:t>So, how does it work?</w:t>
      </w:r>
    </w:p>
    <w:p>
      <w:pPr/>
      <w:r>
        <w:t>Unlike a single lease agreement, where a group of mates living together might sort out amongst themselves who contributes how much to the rent, under the HMO or rent by the room scenario each of the occupants has an individual lease agreement. One tenant can come or leave, and this doesn’t affect the other leases.</w:t>
      </w:r>
    </w:p>
    <w:p>
      <w:pPr/>
      <w:r>
        <w:t>The tenants make a single payment for rent, but you, as the landlord, pay for power, water, gas and internet. Make it really good internet, by the way, if you want to save yourself the headache of complaints. You also will need to pay or organise the gardening and fortnightly cleaning of the common areas.</w:t>
      </w:r>
    </w:p>
    <w:p>
      <w:pPr>
        <w:pStyle w:val="Heading2"/>
        <w:keepNext/>
        <w:keepLines/>
      </w:pPr>
      <w:r>
        <w:t>Finding or converting a property to HMO</w:t>
      </w:r>
    </w:p>
    <w:p>
      <w:pPr/>
      <w:r>
        <w:t>Not every property can be rented out by the room. Ideally, you want a minimum of a four bedroom, two bathroom, two lounge house. Size really does matter here, so aim for large, comfortable rooms.</w:t>
      </w:r>
    </w:p>
    <w:p>
      <w:pPr/>
      <w:r>
        <w:t>Next, consider opportunities for adding in at least one more ensuite bathroom, and converting a lounge or dining room into another bedroom. In one of my own HMO properties, I was able to install a small kitchenette into one of the rooms, which allowed me to increase the rent for that room by $85 each week.</w:t>
      </w:r>
    </w:p>
    <w:p>
      <w:pPr/>
      <w:r>
        <w:t>Depending on the original layout of the house, some of these modifications can be done relatively quickly and cheaply, and the costs don’t take long to pay off. In today’s market, a single bedroom without an ensuite will rent at $185 a week, while an ensuited micro-apartment can fetch up to $400.</w:t>
      </w:r>
    </w:p>
    <w:p>
      <w:pPr>
        <w:pStyle w:val="Heading2"/>
        <w:keepNext/>
        <w:keepLines/>
      </w:pPr>
      <w:r>
        <w:t>Other things to think about</w:t>
      </w:r>
    </w:p>
    <w:p>
      <w:pPr/>
      <w:r>
        <w:t>Unlike a regular rental, you need to offer a fully furnished home. Vacancy rates for rent by the room properties are lower than traditional rentals. A brand new listing (as in, a for a whole house) is likely to be filled in less than a week and a half, while a single room is rarely empty for more than a few days.</w:t>
      </w:r>
    </w:p>
    <w:p>
      <w:pPr/>
      <w:r>
        <w:t>You will want to make sure you have a decent size shed, to allow for storing bulky items like bikes or surfboards, and sufficient parking space. If you have a garage, this can be leased out to one or two of the tenants for an extra $10-$15 per week. A security camera in the front also helps, in case you ever need to sort out any tenant disputes, and a pet (just one, super smoochy, friendly one) can really help to make the property feel like a home to those inside.</w:t>
      </w:r>
    </w:p>
    <w:p>
      <w:pPr/>
      <w:r>
        <w:t>A HMO requires an HMO specific lease. It is based on a standard residential lease, but one of the key differences is that it includes house rules related to tenant conduct. For example, it stipulates that tenants limit noise after 10pm, must clean up their own mess, only use their allocated space in the pantry etc. A lot of this is common sense, but necessary to make sure things inside the property are civil.</w:t>
      </w:r>
    </w:p>
    <w:p>
      <w:pPr/>
      <w:r>
        <w:t>Finally, success of an HMO depends on who is inside it. It’s imperative to vet potential tenants thoroughly  to try and make sure that they are a good fit for the rest of the household. This is where having a great property manager is essential. You really want one who understands that managing a HMO is as much about managing a community as it is about managing the ins and outs of a standard rental. And yes, this does add a few extra challenges into the mix, but the wins to you are well worth it. Trust me.</w:t>
      </w:r>
    </w:p>
    <w:p>
      <w:pPr/>
      <w:r>
        <w:t>Have I convinced you yet? I hope so. Whether you are still not sure or want to know more, or if you want to jump into it straight away – get in touch with me, and I’ll walk you through the process.</w:t>
      </w:r>
    </w:p>
    <w:p>
      <w:pPr>
        <w:pStyle w:val="SourceLabel"/>
        <w:pageBreakBefore/>
      </w:pPr>
      <w:r>
        <w:t>S08 | PROPERTY DIRECT PTY LTD</w:t>
      </w:r>
    </w:p>
    <w:p>
      <w:bookmarkStart w:id="11" w:name="S08"/>
      <w:pPr>
        <w:pStyle w:val="Heading1"/>
        <w:keepNext/>
        <w:keepLines/>
      </w:pPr>
      <w:r>
        <w:t>Rooming Accommodation Investment</w:t>
      </w:r>
      <w:bookmarkEnd w:id="11"/>
    </w:p>
    <w:p>
      <w:pPr>
        <w:pStyle w:val="SourceNote"/>
      </w:pPr>
      <w:r>
        <w:t>Property investment offer | Brisbane-focused commercial source</w:t>
      </w:r>
    </w:p>
    <w:p>
      <w:pPr>
        <w:pStyle w:val="Heading2"/>
        <w:keepNext/>
        <w:keepLines/>
      </w:pPr>
      <w:r>
        <w:t>EARN UP TO 8% GROSS RENTAL YIELD*</w:t>
      </w:r>
    </w:p>
    <w:p>
      <w:pPr/>
      <w:r>
        <w:t>Now is a great time to invest in rooming accommodation —a smart, scalable property strategy designed to meet growing rental demand.</w:t>
      </w:r>
    </w:p>
    <w:p>
      <w:pPr/>
      <w:r>
        <w:t>Since 1997 Property Direct has delivered quality investment opportunities to property investors. We now proudly offer exclusive access to high-performing rooming accommodation investments across key Brisbane locations.</w:t>
      </w:r>
    </w:p>
    <w:p>
      <w:pPr/>
      <w:r>
        <w:t>Our purpose-designed rooming homes are built for strong returns, with the potential to achieve up to 8% gross rental yield *.</w:t>
      </w:r>
    </w:p>
    <w:p>
      <w:pPr>
        <w:pStyle w:val="ListBullet"/>
      </w:pPr>
      <w:r>
        <w:t>High occupancy rates driven by tenant demand</w:t>
      </w:r>
    </w:p>
    <w:p>
      <w:pPr>
        <w:pStyle w:val="ListBullet"/>
      </w:pPr>
      <w:r>
        <w:t>Multiple income streams from separate leases</w:t>
      </w:r>
    </w:p>
    <w:p>
      <w:pPr>
        <w:pStyle w:val="ListBullet"/>
      </w:pPr>
      <w:r>
        <w:t>Reduced financial risk with low vacancy exposure</w:t>
      </w:r>
    </w:p>
    <w:p>
      <w:pPr/>
      <w:r>
        <w:t>Lease your property faster with our experienced tenant placement team. Stay ahead of the curve with modern designs that appeal to today’s renters—furnished, flexible, and affordable.</w:t>
      </w:r>
    </w:p>
    <w:p>
      <w:pPr>
        <w:pStyle w:val="Heading3"/>
        <w:keepNext/>
        <w:keepLines/>
      </w:pPr>
      <w:r>
        <w:t>Our fully managed solution includes:</w:t>
      </w:r>
    </w:p>
    <w:p>
      <w:pPr>
        <w:pStyle w:val="ListBullet"/>
      </w:pPr>
      <w:r>
        <w:t>Expert design and build of council-approved rooming homes</w:t>
      </w:r>
    </w:p>
    <w:p>
      <w:pPr>
        <w:pStyle w:val="ListBullet"/>
      </w:pPr>
      <w:r>
        <w:t>Full leasing support and tenant sourcing</w:t>
      </w:r>
    </w:p>
    <w:p>
      <w:pPr>
        <w:pStyle w:val="ListBullet"/>
      </w:pPr>
      <w:r>
        <w:t>Ongoing professional property management</w:t>
      </w:r>
    </w:p>
    <w:p>
      <w:pPr>
        <w:pStyle w:val="ListBullet"/>
      </w:pPr>
      <w:r>
        <w:t>Faster tenant turnaround to keep income flowing</w:t>
      </w:r>
    </w:p>
    <w:p>
      <w:pPr>
        <w:pStyle w:val="Heading2"/>
        <w:keepNext/>
        <w:keepLines/>
      </w:pPr>
      <w:r>
        <w:t>WHAT IS ROOMING ACCOMMODATION?</w:t>
      </w:r>
    </w:p>
    <w:p>
      <w:pPr/>
      <w:r>
        <w:t>Rooming Accommodation, also referred to as rooming, rooming homes or rooming houses are homes that have five (5) separate ‘studios’ under the one roof providing tenants with their own bedroom, bathroom, living area and kitchenette.</w:t>
      </w:r>
    </w:p>
    <w:p>
      <w:pPr/>
      <w:r>
        <w:t>These days new rooming accommodation properties are high quality homes that provide flexible housing for a range of people – from healthcare and emergency services professionals, to essential workers and single people of all ages.</w:t>
      </w:r>
    </w:p>
    <w:p>
      <w:pPr/>
      <w:r>
        <w:t>People who live in rooming accommodation homes enjoy privacy and security and appreciate the ease of living in a home that’s already furnished and where most expenses are included in the weekly rent.</w:t>
      </w:r>
    </w:p>
    <w:p>
      <w:pPr>
        <w:pStyle w:val="Heading2"/>
        <w:keepNext/>
        <w:keepLines/>
      </w:pPr>
      <w:r>
        <w:t>WHAT ARE THE BENEFITS TO INVESTORS?</w:t>
      </w:r>
    </w:p>
    <w:p>
      <w:pPr/>
      <w:r>
        <w:t>Rooming Accommodation properties are an attractive proposition for investors due to their ability to accommodate multiple tenants resulting in higher rental incomes and yields compared to traditional residential property investments.</w:t>
      </w:r>
    </w:p>
    <w:p>
      <w:pPr/>
      <w:r>
        <w:t>A fully tenanted rooming home can return up to $100,000 gross per annum for investors with an 8% gross yield*.</w:t>
      </w:r>
    </w:p>
    <w:p>
      <w:pPr/>
      <w:r>
        <w:t>Additionally, the shared living model leads to lower vacancy rates, as the departure of one tenant does not equate to a complete loss of rental income.</w:t>
      </w:r>
    </w:p>
    <w:p>
      <w:pPr>
        <w:pStyle w:val="Heading2"/>
        <w:keepNext/>
        <w:keepLines/>
      </w:pPr>
      <w:r>
        <w:t>FLOORPLANS</w:t>
      </w:r>
    </w:p>
    <w:p>
      <w:pPr/>
      <w:r>
        <w:t>We have a range of floorplans to suit varying sizes of land. All our floorplans consist of 5 bedrooms, 5 bathrooms and a living space with kitchenette and a common area with kitchen and dining. A laundry room and outdoor space / yard are also for the use of all residents.</w:t>
      </w:r>
    </w:p>
    <w:p>
      <w:pPr>
        <w:pStyle w:val="Heading2"/>
        <w:keepNext/>
        <w:keepLines/>
      </w:pPr>
      <w:r>
        <w:t>HOW MUCH RENT DO TENANTS PAY?</w:t>
      </w:r>
    </w:p>
    <w:p>
      <w:pPr/>
      <w:r>
        <w:t>Depending on the location, tenants usually pay from $370-$450 for their studio on a minimum 6-month lease agreement. This is inclusive of all outgoings such as power, water, electricity and internet.</w:t>
      </w:r>
    </w:p>
    <w:p>
      <w:pPr>
        <w:pStyle w:val="Heading2"/>
        <w:keepNext/>
        <w:keepLines/>
      </w:pPr>
      <w:r>
        <w:t>WHAT ARE THE BENEFITS TO TENANTS?</w:t>
      </w:r>
    </w:p>
    <w:p>
      <w:pPr/>
      <w:r>
        <w:t>Rooming Accommodation homes benefit tenants by providing a cost- effective and convenient living arrangement. Rather than living in a share house or group home, tenants have their own space and can simply bring their linen and clothes and move straight in.</w:t>
      </w:r>
    </w:p>
    <w:p>
      <w:pPr/>
      <w:r>
        <w:t>Rooming accommodation properties look like any other home from the street, however internally tenants enjoy their own private fully furnished studio. They also have access to a shared communal kitchen, laundry and yard.</w:t>
      </w:r>
    </w:p>
    <w:p>
      <w:pPr>
        <w:pStyle w:val="Heading2"/>
        <w:keepNext/>
        <w:keepLines/>
      </w:pPr>
      <w:r>
        <w:t>WHY BRISBANE?</w:t>
      </w:r>
    </w:p>
    <w:p>
      <w:pPr/>
      <w:r>
        <w:t>Known for its favourable climate, economic opportunities, lifestyle and access to the Gold and Sunshine Coasts, Brisbane continues to experience population growth with an additional 1.65 million residents projected for the 12 Brisbane Local Government Areas (LGAs) by 2041.^</w:t>
      </w:r>
    </w:p>
    <w:p>
      <w:pPr/>
      <w:r>
        <w:t>This growth will create more demand for housing with options such as rooming homes helping to provide additional housing to cater for the demand.</w:t>
      </w:r>
    </w:p>
    <w:p>
      <w:pPr/>
      <w:r>
        <w:t>The 2032 Olympics is also set to transform the city into a vibrant hub creating jobs and boosting the economy. This boost will also contribute to an increased demand for housing.</w:t>
      </w:r>
    </w:p>
    <w:p>
      <w:pPr>
        <w:pStyle w:val="Heading2"/>
        <w:keepNext/>
        <w:keepLines/>
      </w:pPr>
      <w:r>
        <w:t>WHY CHOOSE US?</w:t>
      </w:r>
    </w:p>
    <w:p>
      <w:pPr>
        <w:pStyle w:val="Heading3"/>
        <w:keepNext/>
        <w:keepLines/>
      </w:pPr>
      <w:r>
        <w:t>Strong Track Record</w:t>
      </w:r>
    </w:p>
    <w:p>
      <w:pPr/>
      <w:r>
        <w:t>For more than 25 years we’ve specialised in delivering quality property investments to our clients. Our team are property professionals who have a wealth of industry experience. Meet face-to-face with our experienced team at our Brisbane office.</w:t>
      </w:r>
    </w:p>
    <w:p>
      <w:pPr>
        <w:pStyle w:val="Heading3"/>
        <w:keepNext/>
        <w:keepLines/>
      </w:pPr>
      <w:r>
        <w:t>High Quality Build</w:t>
      </w:r>
    </w:p>
    <w:p>
      <w:pPr/>
      <w:r>
        <w:t>Our builders are specialist Rooming Accommodation builders, experienced in delivering high quality certified rooming homes.</w:t>
      </w:r>
    </w:p>
    <w:p>
      <w:pPr>
        <w:pStyle w:val="Heading3"/>
        <w:keepNext/>
        <w:keepLines/>
      </w:pPr>
      <w:r>
        <w:t>Competitive Property Management Fees</w:t>
      </w:r>
    </w:p>
    <w:p>
      <w:pPr/>
      <w:r>
        <w:t>Our team are dedicated to tenanting your property and have a wealth of experience in managing properties with multiple tenants and leases. We offer competitive ongoing management fees.</w:t>
      </w:r>
    </w:p>
    <w:p>
      <w:pPr>
        <w:pStyle w:val="Heading2"/>
        <w:keepNext/>
        <w:keepLines/>
      </w:pPr>
      <w:r>
        <w:t>Source assumptions and disclaimer</w:t>
      </w:r>
    </w:p>
    <w:p>
      <w:pPr/>
      <w:r>
        <w:t>Images indicative only. *Gross yield / return is based on a package purchase price of $1.2m and 5 rooms being occupied at a rate of $400 per week with a 5% vacancy rate allowance. Income is an estimate only and will vary based on location and other factors. Ask your rep for full T’s &amp; C’s. All information is correct at the time of publication and subject to change without notice. While all care has been taken to provide accurate figures, we do not guarantee the outcome and recommend you seek independent financial advice. The information contained in this publication is general in nature and does not consider your personal situation. You should consider whether the information is appropriate to your needs and seek professional advice from a financial adviser. ^Source: Department of Infrastructure, Transport, Regional Development and Communications  South East Queensland research project report</w:t>
      </w:r>
    </w:p>
    <w:p>
      <w:pPr>
        <w:pStyle w:val="SourceLabel"/>
        <w:pageBreakBefore/>
      </w:pPr>
      <w:r>
        <w:t>SOURCE REGISTER</w:t>
      </w:r>
    </w:p>
    <w:p>
      <w:bookmarkStart w:id="12" w:name="Appendix"/>
      <w:pPr>
        <w:pStyle w:val="Heading1"/>
        <w:keepNext/>
        <w:keepLines/>
      </w:pPr>
      <w:r>
        <w:t>Appendix: sources and website material</w:t>
      </w:r>
      <w:bookmarkEnd w:id="12"/>
    </w:p>
    <w:p>
      <w:pPr>
        <w:pStyle w:val="Heading2"/>
        <w:keepNext/>
        <w:keepLines/>
      </w:pPr>
      <w:r>
        <w:t>Source register</w:t>
      </w:r>
    </w:p>
    <w:p>
      <w:pPr>
        <w:pStyle w:val="SourceLabel"/>
      </w:pPr>
      <w:hyperlink w:anchor="S01" w:history="1">
        <w:r>
          <w:rPr>
            <w:color w:val="326A74"/>
            <w:b/>
          </w:rPr>
          <w:t xml:space="preserve">S01 | Your Investment Property</w:t>
        </w:r>
      </w:hyperlink>
    </w:p>
    <w:p>
      <w:pPr>
        <w:pStyle w:val="AppendixText"/>
      </w:pPr>
      <w:r>
        <w:t>Renting room by room: your path to power profits? | YIP</w:t>
      </w:r>
    </w:p>
    <w:p>
      <w:pPr>
        <w:pStyle w:val="SourceNote"/>
      </w:pPr>
      <w:r>
        <w:t>0016-renting-room-by-room-your-path-to-power-profits-yip.md</w:t>
      </w:r>
    </w:p>
    <w:p>
      <w:pPr>
        <w:pStyle w:val="SourceLabel"/>
      </w:pPr>
      <w:hyperlink w:anchor="S02" w:history="1">
        <w:r>
          <w:rPr>
            <w:color w:val="326A74"/>
            <w:b/>
          </w:rPr>
          <w:t xml:space="preserve">S02 | Indigo Construction Company</w:t>
        </w:r>
      </w:hyperlink>
    </w:p>
    <w:p>
      <w:pPr>
        <w:pStyle w:val="AppendixText"/>
      </w:pPr>
      <w:r>
        <w:t>Brisbane Property Investment Strategy: Rooming Houses Explained | Indigo Construction Company</w:t>
      </w:r>
    </w:p>
    <w:p>
      <w:pPr>
        <w:pStyle w:val="SourceNote"/>
      </w:pPr>
      <w:r>
        <w:t>0024-brisbane-property-investment-strategy-rooming-houses-explained-indigo-construction-company.md</w:t>
      </w:r>
    </w:p>
    <w:p>
      <w:pPr>
        <w:pStyle w:val="SourceLabel"/>
      </w:pPr>
      <w:hyperlink w:anchor="S03" w:history="1">
        <w:r>
          <w:rPr>
            <w:color w:val="326A74"/>
            <w:b/>
          </w:rPr>
          <w:t xml:space="preserve">S03 | Residential Tenancies Authority</w:t>
        </w:r>
      </w:hyperlink>
    </w:p>
    <w:p>
      <w:pPr>
        <w:pStyle w:val="AppendixText"/>
      </w:pPr>
      <w:r>
        <w:t>Owner-occupiers renting out rooms | Residential Tenancies Authority</w:t>
      </w:r>
    </w:p>
    <w:p>
      <w:pPr>
        <w:pStyle w:val="SourceNote"/>
      </w:pPr>
      <w:r>
        <w:t>0035-owner-occupiers-renting-out-rooms-residential-tenancies-authority.md</w:t>
      </w:r>
    </w:p>
    <w:p>
      <w:pPr>
        <w:pStyle w:val="SourceLabel"/>
      </w:pPr>
      <w:hyperlink w:anchor="S04" w:history="1">
        <w:r>
          <w:rPr>
            <w:color w:val="326A74"/>
            <w:b/>
          </w:rPr>
          <w:t xml:space="preserve">S04 | New Property Australia</w:t>
        </w:r>
      </w:hyperlink>
    </w:p>
    <w:p>
      <w:pPr>
        <w:pStyle w:val="AppendixText"/>
      </w:pPr>
      <w:r>
        <w:t>Rooming House New Property Australia</w:t>
      </w:r>
    </w:p>
    <w:p>
      <w:pPr>
        <w:pStyle w:val="SourceNote"/>
      </w:pPr>
      <w:r>
        <w:t>0036-rooming-house-new-property-australia.md</w:t>
      </w:r>
    </w:p>
    <w:p>
      <w:pPr>
        <w:pStyle w:val="SourceLabel"/>
      </w:pPr>
      <w:hyperlink w:anchor="S05" w:history="1">
        <w:r>
          <w:rPr>
            <w:color w:val="326A74"/>
            <w:b/>
          </w:rPr>
          <w:t xml:space="preserve">S05 | CT Real Estate</w:t>
        </w:r>
      </w:hyperlink>
    </w:p>
    <w:p>
      <w:pPr>
        <w:pStyle w:val="AppendixText"/>
      </w:pPr>
      <w:r>
        <w:t>Renting Out To Multiple Co-Tenants: What Are The Risks Involved?</w:t>
      </w:r>
    </w:p>
    <w:p>
      <w:pPr>
        <w:pStyle w:val="SourceNote"/>
      </w:pPr>
      <w:r>
        <w:t>0038-renting-out-to-multiple-co-tenants-what-are-the-risks-involved-ct-real-estate.md</w:t>
      </w:r>
    </w:p>
    <w:p>
      <w:pPr>
        <w:pStyle w:val="SourceLabel"/>
      </w:pPr>
      <w:hyperlink w:anchor="S06" w:history="1">
        <w:r>
          <w:rPr>
            <w:color w:val="326A74"/>
            <w:b/>
          </w:rPr>
          <w:t xml:space="preserve">S06 | Realty8</w:t>
        </w:r>
      </w:hyperlink>
    </w:p>
    <w:p>
      <w:pPr>
        <w:pStyle w:val="AppendixText"/>
      </w:pPr>
      <w:r>
        <w:t>Rooming Accommodation Specialists Brisbane | Realty8</w:t>
      </w:r>
    </w:p>
    <w:p>
      <w:pPr>
        <w:pStyle w:val="SourceNote"/>
      </w:pPr>
      <w:r>
        <w:t>0039-rooming-accommodation-specialists-brisbane-realty8.md</w:t>
      </w:r>
    </w:p>
    <w:p>
      <w:pPr>
        <w:pStyle w:val="SourceLabel"/>
      </w:pPr>
      <w:hyperlink w:anchor="S07" w:history="1">
        <w:r>
          <w:rPr>
            <w:color w:val="326A74"/>
            <w:b/>
          </w:rPr>
          <w:t xml:space="preserve">S07 | Buyers Agency Co</w:t>
        </w:r>
      </w:hyperlink>
    </w:p>
    <w:p>
      <w:pPr>
        <w:pStyle w:val="AppendixText"/>
      </w:pPr>
      <w:r>
        <w:t>HMO Investment: Your Key to Rental Income - Buyers Agency Co</w:t>
      </w:r>
    </w:p>
    <w:p>
      <w:pPr>
        <w:pStyle w:val="SourceNote"/>
      </w:pPr>
      <w:r>
        <w:t>0040-hmo-investment-your-key-to-rental-income-buyers-agency-co.md</w:t>
      </w:r>
    </w:p>
    <w:p>
      <w:pPr>
        <w:pStyle w:val="SourceLabel"/>
      </w:pPr>
      <w:hyperlink w:anchor="S08" w:history="1">
        <w:r>
          <w:rPr>
            <w:color w:val="326A74"/>
            <w:b/>
          </w:rPr>
          <w:t xml:space="preserve">S08 | Property Direct Pty Ltd</w:t>
        </w:r>
      </w:hyperlink>
    </w:p>
    <w:p>
      <w:pPr>
        <w:pStyle w:val="AppendixText"/>
      </w:pPr>
      <w:r>
        <w:t>EARN UP TO 8% GROSS RENTAL YIELD*</w:t>
      </w:r>
    </w:p>
    <w:p>
      <w:pPr>
        <w:pStyle w:val="SourceNote"/>
      </w:pPr>
      <w:r>
        <w:t>0041-rooming-accommodation-investment-property-direct-pty-ltd.md</w:t>
      </w:r>
    </w:p>
    <w:p>
      <w:pPr>
        <w:pStyle w:val="Heading2"/>
        <w:keepNext/>
        <w:keepLines/>
      </w:pPr>
      <w:r>
        <w:t>Website material retained with each source</w:t>
      </w:r>
    </w:p>
    <w:p>
      <w:pPr>
        <w:pStyle w:val="Heading2"/>
        <w:keepNext/>
        <w:keepLines/>
      </w:pPr>
      <w:r>
        <w:t>S01 | Your Investment Property</w:t>
      </w:r>
    </w:p>
    <w:p>
      <w:pPr>
        <w:pStyle w:val="AppendixText"/>
      </w:pPr>
      <w:r>
        <w:t>Advertisement</w:t>
      </w:r>
    </w:p>
    <w:p>
      <w:pPr>
        <w:pStyle w:val="AppendixText"/>
      </w:pPr>
      <w:r>
        <w:rPr>
          <w:b/>
        </w:rPr>
        <w:t>Renting room by room: your path to power profits?</w:t>
      </w:r>
    </w:p>
    <w:p>
      <w:pPr>
        <w:pStyle w:val="AppendixText"/>
      </w:pPr>
      <w:r>
        <w:t>By Aidan Devine</w:t>
      </w:r>
    </w:p>
    <w:p>
      <w:pPr>
        <w:pStyle w:val="AppendixText"/>
        <w:ind w:left="173"/>
      </w:pPr>
      <w:r>
        <w:t xml:space="preserve">Published </w:t>
      </w:r>
      <w:r>
        <w:rPr>
          <w:b/>
        </w:rPr>
        <w:t>22 Nov, 2011</w:t>
      </w:r>
      <w:r>
        <w:t xml:space="preserve"> 22/11/2011</w:t>
      </w:r>
    </w:p>
    <w:p>
      <w:pPr>
        <w:pStyle w:val="AppendixText"/>
      </w:pPr>
      <w:r>
        <w:rPr>
          <w:b/>
        </w:rPr>
        <w:t>Speak to an SMSF lending specialist</w:t>
      </w:r>
    </w:p>
    <w:p>
      <w:pPr>
        <w:pStyle w:val="AppendixText"/>
      </w:pPr>
      <w:r>
        <w:rPr>
          <w:b/>
        </w:rPr>
        <w:t>Whether you're looking to refinance or purchase investment property with your SMSF our partners can help you find the right SMSF home loan.</w:t>
      </w:r>
    </w:p>
    <w:p>
      <w:pPr>
        <w:pStyle w:val="AppendixText"/>
      </w:pPr>
      <w:r>
        <w:t>Request a call back By submitting this form you agree to the following: YourInvestmentPropertyMag.com.au’s Terms of Use, YourInvestmentPropertyMag.com.au Privacy Policy and Loans.com.au’s Conditions and Privacy Policy.</w:t>
      </w:r>
    </w:p>
    <w:p>
      <w:pPr>
        <w:pStyle w:val="AppendixText"/>
      </w:pPr>
      <w:r>
        <w:rPr>
          <w:b/>
        </w:rPr>
        <w:t>Get the latest property investor news &amp; expert insights delivered</w:t>
      </w:r>
    </w:p>
    <w:p>
      <w:pPr>
        <w:pStyle w:val="AppendixText"/>
      </w:pPr>
      <w:r>
        <w:t>Subscribe By subscribing you agree to our privacy policy.</w:t>
      </w:r>
    </w:p>
    <w:p>
      <w:pPr>
        <w:pStyle w:val="AppendixText"/>
      </w:pPr>
      <w:r>
        <w:t>Read more articles by Aidan Devine Related articles Self-Management vs Property Managers: Costs, Workload, and Risks One of the most important decisions property investors face after buying a rental is whether to manage it themselves or hand it over to a property manager. The right choice depends on various factors. How to find good tenants for your investment property Boardwalk Bosses Is your rental property up to scratch? Investing in change: The charitable property management revolution Rent increase limits - are they really the answer? How to clean ducted air con filter  Lifting the lid on rent rises How to screen potential tenants Property management: DIY or hire the pro's? Should landlords provide references from past tenants? How to avoid bathroom mould problems in your investment property Experts Reveal the Best Air Conditioner for a Rental Property Latest news articles Luxury developers dominate at 2026 PropertyGuru Asia Property Awards (Australia) Luxury developers were among the biggest winners at the 9th Annual PropertyGuru Asia Property Awards (Australia). Investors gain leverage as housing slowdown broadens Perth, Brisbane defy national slowdown in property profitability Housing slump spreads across Australia Landlords lift rents as policy changes, Sydney tenants hit by biggest increase in 4 years Sydney, Melbourne to lead housing market correction SMSFs blocked from borrowing to buy homes under Labor-Greens deal Under-the-radar markets emerge as next property hotspots Investor lending slips as budget reforms reshape property incentives Sydney, Melbourne kick off 9th PropertyGuru Asia Property Awards in Australia Australia’s tight rental market fails to deliver rent growth for investors 10 ‘cheapies with prospects’ for property investors Inner‑city units flip the rent-buy equation, flagging opportunities for investors Advertisement Compare Investor LoansFind a great rate for your investment property</w:t>
      </w:r>
    </w:p>
    <w:p>
      <w:pPr>
        <w:pStyle w:val="AppendixText"/>
      </w:pPr>
      <w:r>
        <w:t>Need help with an SMSF Property Loan? Speak to an SMSF lending specialist</w:t>
      </w:r>
    </w:p>
    <w:p>
      <w:pPr>
        <w:pStyle w:val="SourceLabel"/>
      </w:pPr>
      <w:r>
        <w:t>Image and page-element labels</w:t>
      </w:r>
    </w:p>
    <w:p>
      <w:pPr>
        <w:pStyle w:val="SourceNote"/>
      </w:pPr>
      <w:r>
        <w:t>img of Aidan Devine ; !SMSF Icon</w:t>
      </w:r>
    </w:p>
    <w:p>
      <w:pPr>
        <w:pStyle w:val="Heading2"/>
        <w:keepNext/>
        <w:keepLines/>
      </w:pPr>
      <w:r>
        <w:t>S02 | Indigo Construction Company</w:t>
      </w:r>
    </w:p>
    <w:p>
      <w:pPr>
        <w:pStyle w:val="AppendixText"/>
      </w:pPr>
      <w:r>
        <w:t>Skip to content</w:t>
      </w:r>
    </w:p>
    <w:p>
      <w:pPr>
        <w:pStyle w:val="AppendixText"/>
      </w:pPr>
      <w:r>
        <w:rPr>
          <w:b/>
        </w:rPr>
        <w:t>Brisbane Property Investment Strategy: Rooming Houses Explained</w:t>
      </w:r>
    </w:p>
    <w:p>
      <w:pPr>
        <w:pStyle w:val="AppendixText"/>
      </w:pPr>
      <w:r>
        <w:rPr>
          <w:b/>
        </w:rPr>
        <w:t>Latest Articles</w:t>
      </w:r>
    </w:p>
    <w:p>
      <w:pPr>
        <w:pStyle w:val="AppendixText"/>
      </w:pPr>
      <w:r>
        <w:rPr>
          <w:b/>
        </w:rPr>
        <w:t>Rooming House in Brisbane vs Shared Rental: Which Is Better?</w:t>
      </w:r>
    </w:p>
    <w:p>
      <w:pPr>
        <w:pStyle w:val="AppendixText"/>
      </w:pPr>
      <w:r>
        <w:rPr>
          <w:b/>
        </w:rPr>
        <w:t>Rooming House Brisbane: Benefits for Students and Professionals</w:t>
      </w:r>
    </w:p>
    <w:p>
      <w:pPr>
        <w:pStyle w:val="AppendixText"/>
      </w:pPr>
      <w:r>
        <w:rPr>
          <w:b/>
        </w:rPr>
        <w:t>Why Hire a Property Development Consultancy in Brisbane?</w:t>
      </w:r>
    </w:p>
    <w:p>
      <w:pPr>
        <w:pStyle w:val="AppendixText"/>
      </w:pPr>
      <w:r>
        <w:rPr>
          <w:b/>
        </w:rPr>
        <w:t>Choosing the Right Property Development Consultancy Brisbane</w:t>
      </w:r>
    </w:p>
    <w:p>
      <w:pPr>
        <w:pStyle w:val="AppendixText"/>
      </w:pPr>
      <w:r>
        <w:rPr>
          <w:b/>
        </w:rPr>
        <w:t>Property Development Consultancy Brisbane: Avoid Costly Mistakes</w:t>
      </w:r>
    </w:p>
    <w:p>
      <w:pPr>
        <w:pStyle w:val="AppendixText"/>
      </w:pPr>
      <w:r>
        <w:rPr>
          <w:b/>
        </w:rPr>
        <w:t>services</w:t>
      </w:r>
    </w:p>
    <w:p>
      <w:pPr>
        <w:pStyle w:val="AppendixText"/>
      </w:pPr>
      <w:r>
        <w:rPr>
          <w:b/>
        </w:rPr>
        <w:t>projects</w:t>
      </w:r>
    </w:p>
    <w:p>
      <w:pPr>
        <w:pStyle w:val="AppendixText"/>
      </w:pPr>
      <w:r>
        <w:rPr>
          <w:b/>
        </w:rPr>
        <w:t>blogs</w:t>
      </w:r>
    </w:p>
    <w:p>
      <w:pPr>
        <w:pStyle w:val="AppendixText"/>
      </w:pPr>
      <w:r>
        <w:rPr>
          <w:b/>
        </w:rPr>
        <w:t>about</w:t>
      </w:r>
    </w:p>
    <w:p>
      <w:pPr>
        <w:pStyle w:val="AppendixText"/>
      </w:pPr>
      <w:r>
        <w:rPr>
          <w:b/>
        </w:rPr>
        <w:t>contact us</w:t>
      </w:r>
    </w:p>
    <w:p>
      <w:pPr>
        <w:pStyle w:val="AppendixText"/>
      </w:pPr>
      <w:r>
        <w:rPr>
          <w:b/>
        </w:rPr>
        <w:t>Custom Houses</w:t>
      </w:r>
    </w:p>
    <w:p>
      <w:pPr>
        <w:pStyle w:val="AppendixText"/>
      </w:pPr>
      <w:r>
        <w:rPr>
          <w:b/>
        </w:rPr>
        <w:t>Rooming Houses</w:t>
      </w:r>
    </w:p>
    <w:p>
      <w:pPr>
        <w:pStyle w:val="AppendixText"/>
      </w:pPr>
      <w:r>
        <w:rPr>
          <w:b/>
        </w:rPr>
        <w:t>Granny Flats</w:t>
      </w:r>
    </w:p>
    <w:p>
      <w:pPr>
        <w:pStyle w:val="SourceLabel"/>
      </w:pPr>
      <w:r>
        <w:t>Image and page-element labels</w:t>
      </w:r>
    </w:p>
    <w:p>
      <w:pPr>
        <w:pStyle w:val="SourceNote"/>
      </w:pPr>
      <w:r>
        <w:t>!Brisbane Property Investment Strategy ; !Rooming House ; !</w:t>
      </w:r>
    </w:p>
    <w:p>
      <w:pPr>
        <w:pStyle w:val="Heading2"/>
        <w:keepNext/>
        <w:keepLines/>
      </w:pPr>
      <w:r>
        <w:t>S03 | Residential Tenancies Authority</w:t>
      </w:r>
    </w:p>
    <w:p>
      <w:pPr>
        <w:pStyle w:val="AppendixText"/>
        <w:ind w:left="173"/>
      </w:pPr>
      <w:r>
        <w:t>Property owners can request a maximum amount of bond of up to: 4 weeks’ rent for general tenancies and rooming accommodation 2 weeks’ rent for moveable dwellings 3 weeks’ rent for moveable dwellings if electricity is provided.</w:t>
      </w:r>
    </w:p>
    <w:p>
      <w:pPr>
        <w:pStyle w:val="Heading2"/>
        <w:keepNext/>
        <w:keepLines/>
      </w:pPr>
      <w:r>
        <w:t>S04 | New Property Australia</w:t>
      </w:r>
    </w:p>
    <w:p>
      <w:pPr>
        <w:pStyle w:val="AppendixText"/>
      </w:pPr>
      <w:r>
        <w:t>Skip to content / Why Us / Our Team / Why us / FAQ’s / About Us / Properties / Dual Occupancy / Duplex / Co-Living / Rooming House / Townhouses / House &amp; Land Packages / Apartments / Self-Managed Superannuation Fund (SMSF) Property / Small Scale Developments / Project Management / News &amp; Updates / Menu / Why Us / Our Team / Why us / FAQ’s / About Us / Properties / Dual Occupancy / Duplex / Co-Living / Rooming House / Townhouses / House &amp; Land Packages / Apartments / Self-Managed Superannuation Fund (SMSF) Property / Small Scale Developments / Project Management / News &amp; Updates / ask@newproperty.com.au / (07) 3063 2401 / New Property Australia / Rooming House</w:t>
      </w:r>
    </w:p>
    <w:p>
      <w:pPr>
        <w:pStyle w:val="AppendixText"/>
      </w:pPr>
      <w:r>
        <w:t>Enquire now Home / Property Types / Rooming House</w:t>
      </w:r>
    </w:p>
    <w:p>
      <w:pPr>
        <w:pStyle w:val="AppendixText"/>
      </w:pPr>
      <w:r>
        <w:t>Interested in speaking to an expert Rooming House builder? www.roominghousebuilders.com.au</w:t>
      </w:r>
    </w:p>
    <w:p>
      <w:pPr>
        <w:pStyle w:val="AppendixText"/>
      </w:pPr>
      <w:r>
        <w:t>articles and case studies Real Estate Investment 2021 Why You Should Get Started In Real Estate Investment this 2021 3 February 2021 Why You Should Get Started in Real Estate this Year Should you get started in Real Estate investment in 2021?  The short answer to this Read Now Rooming Houses Investment Why Rooming Houses are Great Real Estate Investments 17 January 2021 Why Rooming Houses are Good Investment To begin with, let’s quickly define what a Rooming House is. A Rooming House is a type of investment Read Now</w:t>
      </w:r>
    </w:p>
    <w:p>
      <w:pPr>
        <w:pStyle w:val="AppendixText"/>
      </w:pPr>
      <w:r>
        <w:t>3 Incredible Reasons to Become a Rooming House Investor 27 September 2020 Becoming a Rooming House Investor is taking the Property Investment Market by storm. Here are 3 reasons you should become a Rooming House Investor today! Read Now</w:t>
      </w:r>
    </w:p>
    <w:p>
      <w:pPr>
        <w:pStyle w:val="AppendixText"/>
      </w:pPr>
      <w:r>
        <w:t>Banyo, Rooming House 3 September 2019 In this New Property Australia Case Study A client was seeking their first investment and was looking for a high yielding property that would enable them to receive a positive cashflow. Read Now</w:t>
      </w:r>
    </w:p>
    <w:p>
      <w:pPr>
        <w:pStyle w:val="AppendixText"/>
      </w:pPr>
      <w:r>
        <w:t>Churchill, Townhouse Development, Matthew. 3 May 2019 In this New Property Australia Case Study our client approached us to find a project that we could take him through from the initial sourcing of the land to the final sold product. Read Now</w:t>
      </w:r>
    </w:p>
    <w:p>
      <w:pPr>
        <w:pStyle w:val="AppendixText"/>
      </w:pPr>
      <w:r>
        <w:t>Oxley, Rooming House, Ansons 3 September 2016 In this New Property Australia Case study the client was seeking a high yielding property investment in an area with good Capital Growth prospects. Read Now Why wait? Get in touch today... The team at New Property Australia is readily available to discuss your property investment goals and what the next steps in your property investment journey should be.</w:t>
      </w:r>
    </w:p>
    <w:p>
      <w:pPr>
        <w:pStyle w:val="AppendixText"/>
        <w:ind w:left="173"/>
      </w:pPr>
      <w:r>
        <w:t>(07) 3063 2401</w:t>
      </w:r>
    </w:p>
    <w:p>
      <w:pPr>
        <w:pStyle w:val="AppendixText"/>
        <w:ind w:left="173"/>
      </w:pPr>
      <w:r>
        <w:t>ask@newproperty.com.au Please enable JavaScript in your browser to complete this form. Name * [                    ]First [                    ]Last Email *[                    ] Comment or Message *[                    ]</w:t>
      </w:r>
    </w:p>
    <w:p>
      <w:pPr>
        <w:pStyle w:val="AppendixText"/>
      </w:pPr>
      <w:r>
        <w:t>SubmitLoading Consider Your property investment options Explore other Property Types New Property Australia helps investors of all shapes and sizes to consider all their options, get everything lined and then to make the most on their journey to propoerty investment prosperity.</w:t>
      </w:r>
    </w:p>
    <w:p>
      <w:pPr>
        <w:pStyle w:val="AppendixText"/>
      </w:pPr>
      <w:r>
        <w:t>About Us New Property Australia has been helping property investors of all levels of experience make the right decisions to realise their wealth goals. Property Type Details</w:t>
      </w:r>
    </w:p>
    <w:p>
      <w:pPr>
        <w:pStyle w:val="AppendixText"/>
      </w:pPr>
      <w:r>
        <w:t>Apartments New Property Australia have numerous key relationships with different apartments developers and builders across Australia, allowing us to have access to the latest and most in-demand developments for our clients. Property Type Details</w:t>
      </w:r>
    </w:p>
    <w:p>
      <w:pPr>
        <w:pStyle w:val="AppendixText"/>
      </w:pPr>
      <w:r>
        <w:t>Co-Living Dual Occupancy is a property investment option that many of New Property Australia’s customers consider. Enquire today to find out if it is the option for you. Property Type Details Explore More stay connected News &amp; Updates Keep up to date with the latest news from New Property Australia. We are Always adding new articles, video content, case studies and testimonials from our happy customers. Read more Micro Apartments Brisbane – Everything You Need To Know 23 January 2023 What Are Micro Apartments Brisbane? Micro Apartments Brisbane are semi-self-contained rooms that form part of a Rooming House, boarding house, or co-living property.  When we Read Now Russell Island Suburb Profile – Should I Invest on Russell Island? 5 October 2021 This Suburb Profile aims to give you a good overview of Russell Island. As always, if you’re not keen to read the whole article feel Read Now Suburb Profile Logan Central 25 August 2021 This Suburb Profile Logan Central will explain the new Infrastructure and projects happening in the suburb which make it a good opportunity for both investors Read Now Need help? Call our award-winning support team 24/7 at (07) 3063 2401 New Property Logo New Property Australia is a leading source of advice and guidance when it comes to property investment in Australia. Talk to us today to get you journey to greatness underway. Property</w:t>
      </w:r>
    </w:p>
    <w:p>
      <w:pPr>
        <w:pStyle w:val="AppendixText"/>
        <w:ind w:left="173"/>
      </w:pPr>
      <w:r>
        <w:t>Duplex</w:t>
      </w:r>
    </w:p>
    <w:p>
      <w:pPr>
        <w:pStyle w:val="AppendixText"/>
        <w:ind w:left="173"/>
      </w:pPr>
      <w:r>
        <w:t>Dual Occupancy</w:t>
      </w:r>
    </w:p>
    <w:p>
      <w:pPr>
        <w:pStyle w:val="AppendixText"/>
        <w:ind w:left="173"/>
      </w:pPr>
      <w:r>
        <w:t>Rooming House Menu</w:t>
      </w:r>
    </w:p>
    <w:p>
      <w:pPr>
        <w:pStyle w:val="AppendixText"/>
        <w:ind w:left="173"/>
      </w:pPr>
      <w:r>
        <w:t>Duplex</w:t>
      </w:r>
    </w:p>
    <w:p>
      <w:pPr>
        <w:pStyle w:val="AppendixText"/>
        <w:ind w:left="173"/>
      </w:pPr>
      <w:r>
        <w:t>Dual Occupancy</w:t>
      </w:r>
    </w:p>
    <w:p>
      <w:pPr>
        <w:pStyle w:val="AppendixText"/>
        <w:ind w:left="173"/>
      </w:pPr>
      <w:r>
        <w:t>Rooming House About</w:t>
      </w:r>
    </w:p>
    <w:p>
      <w:pPr>
        <w:pStyle w:val="AppendixText"/>
        <w:ind w:left="173"/>
      </w:pPr>
      <w:r>
        <w:t>WHY US</w:t>
      </w:r>
    </w:p>
    <w:p>
      <w:pPr>
        <w:pStyle w:val="AppendixText"/>
        <w:ind w:left="173"/>
      </w:pPr>
      <w:r>
        <w:t>Our Team</w:t>
      </w:r>
    </w:p>
    <w:p>
      <w:pPr>
        <w:pStyle w:val="AppendixText"/>
        <w:ind w:left="173"/>
      </w:pPr>
      <w:r>
        <w:t>About Us</w:t>
      </w:r>
    </w:p>
    <w:p>
      <w:pPr>
        <w:pStyle w:val="AppendixText"/>
        <w:ind w:left="173"/>
      </w:pPr>
      <w:r>
        <w:t>FAQ’s Menu</w:t>
      </w:r>
    </w:p>
    <w:p>
      <w:pPr>
        <w:pStyle w:val="AppendixText"/>
        <w:ind w:left="173"/>
      </w:pPr>
      <w:r>
        <w:t>WHY US</w:t>
      </w:r>
    </w:p>
    <w:p>
      <w:pPr>
        <w:pStyle w:val="AppendixText"/>
        <w:ind w:left="173"/>
      </w:pPr>
      <w:r>
        <w:t>Our Team</w:t>
      </w:r>
    </w:p>
    <w:p>
      <w:pPr>
        <w:pStyle w:val="AppendixText"/>
        <w:ind w:left="173"/>
      </w:pPr>
      <w:r>
        <w:t>About Us</w:t>
      </w:r>
    </w:p>
    <w:p>
      <w:pPr>
        <w:pStyle w:val="AppendixText"/>
        <w:ind w:left="173"/>
      </w:pPr>
      <w:r>
        <w:t>FAQ’s © 2023 All Rights Reserved | Site by Soto | Privacy Policy Facebook-f Linkedin Youtube Envelope 17167 Investment Security Guide Download My Free Guide FREE</w:t>
      </w:r>
    </w:p>
    <w:p>
      <w:pPr>
        <w:pStyle w:val="AppendixText"/>
      </w:pPr>
      <w:r>
        <w:t>Download our free Investment Security Guide with advice from experts</w:t>
      </w:r>
    </w:p>
    <w:p>
      <w:pPr>
        <w:pStyle w:val="AppendixText"/>
      </w:pPr>
      <w:r>
        <w:t>This website uses cookies to ensure you get the best experience on our website. OK</w:t>
      </w:r>
    </w:p>
    <w:p>
      <w:pPr>
        <w:pStyle w:val="SourceLabel"/>
      </w:pPr>
      <w:r>
        <w:t>Image and page-element labels</w:t>
      </w:r>
    </w:p>
    <w:p>
      <w:pPr>
        <w:pStyle w:val="SourceNote"/>
      </w:pPr>
      <w:r>
        <w:t>[House-A-Facade-2-1-1024x694] ; [Capture-Floor-Plan] ; [71-Oconnor-Street-Oxley-Daytime-Photos-3-1024x683] ; [71-Oconnor-Street-Oxley-Daytime-Photos-4] ; [White_Transparent_Print-02] ; [IMG_0285-3-1024x745] ; [Rooming-Houses-Morning-Side-Images-15Web-] ; [Rooming-Houses-Banyo-Image-1-300x200] ; [Small-Scale-Development-Unit1-2-View-3-30] ; [Rooming-Houses-Oxley-Epack-Lot-1-Oconnor-] ; [                    ] ; [Images-Folder-Apartments-Savoir-faire] ; [Images-Folder-Apartments-Coorparoo-2] ; [Beachsea-New-Version-scaled] ; [                    ] ; [] ; [                    ]</w:t>
      </w:r>
    </w:p>
    <w:p>
      <w:pPr>
        <w:pStyle w:val="Heading2"/>
        <w:keepNext/>
        <w:keepLines/>
      </w:pPr>
      <w:r>
        <w:t>S05 | CT Real Estate</w:t>
      </w:r>
    </w:p>
    <w:p>
      <w:pPr>
        <w:pStyle w:val="AppendixText"/>
        <w:ind w:left="173"/>
      </w:pPr>
      <w:r>
        <w:t>Introduction:</w:t>
      </w:r>
    </w:p>
    <w:p>
      <w:pPr>
        <w:pStyle w:val="AppendixText"/>
        <w:ind w:left="173"/>
      </w:pPr>
      <w:r>
        <w:t>Part 1: Leasing Out Your Property</w:t>
      </w:r>
    </w:p>
    <w:p>
      <w:pPr>
        <w:pStyle w:val="AppendixText"/>
        <w:ind w:left="173"/>
      </w:pPr>
      <w:r>
        <w:t>Part 2: Getting The Most Out Of Your Property</w:t>
      </w:r>
    </w:p>
    <w:p>
      <w:pPr>
        <w:pStyle w:val="AppendixText"/>
        <w:ind w:left="173"/>
      </w:pPr>
      <w:r>
        <w:t>Part 3: Choosing The Right Tenants</w:t>
      </w:r>
    </w:p>
    <w:p>
      <w:pPr>
        <w:pStyle w:val="AppendixText"/>
        <w:ind w:left="173"/>
      </w:pPr>
      <w:r>
        <w:t>Part 4: What Property Managers Do</w:t>
      </w:r>
    </w:p>
    <w:p>
      <w:pPr>
        <w:pStyle w:val="AppendixText"/>
        <w:ind w:left="173"/>
      </w:pPr>
      <w:r>
        <w:t>Part 5: Multiple Tenants And Sub-letting</w:t>
      </w:r>
    </w:p>
    <w:p>
      <w:pPr>
        <w:pStyle w:val="AppendixText"/>
        <w:ind w:left="173"/>
      </w:pPr>
      <w:r>
        <w:t>Part 6: Calculating The Costs Of Renting Out Your Property</w:t>
      </w:r>
    </w:p>
    <w:p>
      <w:pPr>
        <w:pStyle w:val="AppendixText"/>
        <w:ind w:left="173"/>
      </w:pPr>
      <w:r>
        <w:t>Shorter Leases</w:t>
      </w:r>
    </w:p>
    <w:p>
      <w:pPr>
        <w:pStyle w:val="AppendixText"/>
        <w:ind w:left="173"/>
      </w:pPr>
      <w:r>
        <w:t>Higher Maintenance Costs</w:t>
      </w:r>
    </w:p>
    <w:p>
      <w:pPr>
        <w:pStyle w:val="AppendixText"/>
        <w:ind w:left="173"/>
      </w:pPr>
      <w:r>
        <w:t>Requires A Licence</w:t>
      </w:r>
    </w:p>
    <w:p>
      <w:pPr>
        <w:pStyle w:val="AppendixText"/>
        <w:ind w:left="173"/>
      </w:pPr>
      <w:r>
        <w:t>Higher Chances Of Vacancy</w:t>
      </w:r>
    </w:p>
    <w:p>
      <w:pPr>
        <w:pStyle w:val="AppendixText"/>
        <w:ind w:left="173"/>
      </w:pPr>
      <w:r>
        <w:t>Less Stability</w:t>
      </w:r>
    </w:p>
    <w:p>
      <w:pPr>
        <w:pStyle w:val="Heading2"/>
        <w:keepNext/>
        <w:keepLines/>
      </w:pPr>
      <w:r>
        <w:t>S06 | Realty8</w:t>
      </w:r>
    </w:p>
    <w:p>
      <w:pPr>
        <w:pStyle w:val="AppendixText"/>
      </w:pPr>
      <w:r>
        <w:t>Specialist Property Management</w:t>
      </w:r>
    </w:p>
    <w:p>
      <w:pPr>
        <w:pStyle w:val="AppendixText"/>
      </w:pPr>
      <w:r>
        <w:rPr>
          <w:b/>
        </w:rPr>
        <w:t>Rooming Accommodation Specialists in Brisbane</w:t>
      </w:r>
    </w:p>
    <w:p>
      <w:pPr>
        <w:pStyle w:val="Heading2"/>
        <w:keepNext/>
        <w:keepLines/>
      </w:pPr>
      <w:r>
        <w:t>S07 | Buyers Agency Co</w:t>
      </w:r>
    </w:p>
    <w:p>
      <w:pPr>
        <w:pStyle w:val="AppendixText"/>
        <w:ind w:left="173"/>
      </w:pPr>
      <w:r>
        <w:t>Home /</w:t>
      </w:r>
    </w:p>
    <w:p>
      <w:pPr>
        <w:pStyle w:val="AppendixText"/>
        <w:ind w:left="173"/>
      </w:pPr>
      <w:r>
        <w:t>Want to double your rental yield? Go HMO</w:t>
      </w:r>
    </w:p>
    <w:p>
      <w:pPr>
        <w:pStyle w:val="AppendixText"/>
      </w:pPr>
      <w:r>
        <w:rPr>
          <w:b/>
        </w:rPr>
        <w:t>Want to double your rental yield? Go HMO</w:t>
      </w:r>
    </w:p>
    <w:p>
      <w:pPr>
        <w:pStyle w:val="AppendixText"/>
      </w:pPr>
      <w:r>
        <w:rPr>
          <w:b/>
        </w:rPr>
        <w:t>Reach out to us</w:t>
      </w:r>
    </w:p>
    <w:p>
      <w:pPr>
        <w:pStyle w:val="AppendixText"/>
      </w:pPr>
      <w:r>
        <w:rPr>
          <w:b/>
        </w:rPr>
        <w:t>Call us anytime</w:t>
      </w:r>
    </w:p>
    <w:p>
      <w:pPr>
        <w:pStyle w:val="AppendixText"/>
      </w:pPr>
      <w:r>
        <w:t>08 6244 3389</w:t>
      </w:r>
    </w:p>
    <w:p>
      <w:pPr>
        <w:pStyle w:val="AppendixText"/>
      </w:pPr>
      <w:r>
        <w:rPr>
          <w:b/>
        </w:rPr>
        <w:t>Email Us</w:t>
      </w:r>
    </w:p>
    <w:p>
      <w:pPr>
        <w:pStyle w:val="AppendixText"/>
      </w:pPr>
      <w:r>
        <w:t>info@buyersagencyco.com.au</w:t>
      </w:r>
    </w:p>
    <w:p>
      <w:pPr>
        <w:pStyle w:val="AppendixText"/>
      </w:pPr>
      <w:r>
        <w:rPr>
          <w:b/>
        </w:rPr>
        <w:t>Visit our office</w:t>
      </w:r>
    </w:p>
    <w:p>
      <w:pPr>
        <w:pStyle w:val="AppendixText"/>
      </w:pPr>
      <w:r>
        <w:t>294 Rokeby Rd, Subiaco WA 6008</w:t>
      </w:r>
    </w:p>
    <w:p>
      <w:pPr>
        <w:pStyle w:val="AppendixText"/>
      </w:pPr>
      <w:r>
        <w:rPr>
          <w:b/>
        </w:rPr>
        <w:t>Book a FREE Discovery Session</w:t>
      </w:r>
    </w:p>
    <w:p>
      <w:pPr>
        <w:pStyle w:val="AppendixText"/>
      </w:pPr>
      <w:r>
        <w:t>Ready to navigate the real estate market with confidence and ease?</w:t>
      </w:r>
    </w:p>
    <w:p>
      <w:pPr>
        <w:pStyle w:val="Heading2"/>
        <w:keepNext/>
        <w:keepLines/>
      </w:pPr>
      <w:r>
        <w:t>S08 | Property Direct Pty Ltd</w:t>
      </w:r>
    </w:p>
    <w:p>
      <w:pPr>
        <w:pStyle w:val="AppendixText"/>
      </w:pPr>
      <w:r>
        <w:rPr>
          <w:b/>
        </w:rPr>
        <w:t>ENQUIRE NOW for your FREE Investor Information Guide and start your investment journey.</w:t>
      </w:r>
    </w:p>
    <w:p>
      <w:pPr>
        <w:pStyle w:val="AppendixText"/>
      </w:pPr>
      <w:r>
        <w:t>Our team will then be in touch to share our latest rooming accommodation investment packages with you.</w:t>
      </w:r>
    </w:p>
    <w:p>
      <w:pPr>
        <w:pStyle w:val="AppendixText"/>
      </w:pPr>
      <w:r>
        <w:rPr>
          <w:b/>
        </w:rPr>
        <w:t>PHOTO GALLERY</w:t>
      </w:r>
    </w:p>
    <w:sectPr w:rsidR="00FC693F" w:rsidRPr="0006063C" w:rsidSect="00034616">
      <w:headerReference w:type="default" r:id="rId9"/>
      <w:footerReference w:type="default" r:id="rId10"/>
      <w:pgSz w:w="12240" w:h="15840"/>
      <w:pgMar w:top="936" w:right="1037" w:bottom="936" w:left="1037" w:header="360"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color w:val="5C6870"/>
        <w:sz w:val="16"/>
      </w:rPr>
      <w:t xml:space="preserve">Rooming accommodation  |  </w:t>
    </w:r>
    <w:r>
      <w:rPr>
        <w:sz w:val="16"/>
      </w:rPr>
      <w:fldChar w:fldCharType="begin"/>
    </w:r>
    <w:r>
      <w:instrText xml:space="preserve">PAGE</w:instrText>
    </w:r>
    <w:r>
      <w:fldChar w:fldCharType="separate"/>
    </w:r>
    <w:r>
      <w:rPr>
        <w:sz w:val="16"/>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Note"/>
      <w:spacing w:after="0"/>
    </w:pPr>
    <w:r>
      <w:rPr>
        <w:sz w:val="16"/>
      </w:rPr>
      <w:t>ROOMING ACCOMMODATION | SOURCE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val="0"/>
      <w:widowControl/>
      <w:spacing w:line="250" w:lineRule="auto" w:after="80"/>
    </w:pPr>
    <w:rPr>
      <w:rFonts w:ascii="Liberation Sans" w:hAnsi="Liberation Sans"/>
      <w:color w:val="25343B"/>
      <w:sz w:val="22"/>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val="0"/>
      <w:widowControl/>
      <w:spacing w:before="0" w:after="160" w:line="250" w:lineRule="auto"/>
      <w:outlineLvl w:val="0"/>
    </w:pPr>
    <w:rPr>
      <w:rFonts w:asciiTheme="majorHAnsi" w:eastAsiaTheme="majorEastAsia" w:hAnsiTheme="majorHAnsi" w:cstheme="majorBidi" w:ascii="Liberation Sans" w:hAnsi="Liberation Sans"/>
      <w:b/>
      <w:bCs/>
      <w:color w:val="17384A"/>
      <w:sz w:val="40"/>
      <w:szCs w:val="28"/>
      <w:lang w:val="en-AU"/>
    </w:rPr>
  </w:style>
  <w:style w:type="paragraph" w:styleId="Heading2">
    <w:name w:val="heading 2"/>
    <w:basedOn w:val="Normal"/>
    <w:next w:val="Normal"/>
    <w:link w:val="Heading2Char"/>
    <w:uiPriority w:val="9"/>
    <w:unhideWhenUsed/>
    <w:qFormat/>
    <w:rsid w:val="00FC693F"/>
    <w:pPr>
      <w:keepNext/>
      <w:keepLines w:val="0"/>
      <w:widowControl/>
      <w:spacing w:before="200" w:after="80" w:line="250" w:lineRule="auto"/>
      <w:outlineLvl w:val="1"/>
    </w:pPr>
    <w:rPr>
      <w:rFonts w:asciiTheme="majorHAnsi" w:eastAsiaTheme="majorEastAsia" w:hAnsiTheme="majorHAnsi" w:cstheme="majorBidi" w:ascii="Liberation Sans" w:hAnsi="Liberation Sans"/>
      <w:b/>
      <w:bCs/>
      <w:color w:val="326A74"/>
      <w:sz w:val="28"/>
      <w:szCs w:val="26"/>
      <w:lang w:val="en-AU"/>
    </w:rPr>
  </w:style>
  <w:style w:type="paragraph" w:styleId="Heading3">
    <w:name w:val="heading 3"/>
    <w:basedOn w:val="Normal"/>
    <w:next w:val="Normal"/>
    <w:link w:val="Heading3Char"/>
    <w:uiPriority w:val="9"/>
    <w:unhideWhenUsed/>
    <w:qFormat/>
    <w:rsid w:val="00FC693F"/>
    <w:pPr>
      <w:keepNext/>
      <w:keepLines w:val="0"/>
      <w:widowControl/>
      <w:spacing w:before="120" w:after="40" w:line="250" w:lineRule="auto"/>
      <w:outlineLvl w:val="2"/>
    </w:pPr>
    <w:rPr>
      <w:rFonts w:asciiTheme="majorHAnsi" w:eastAsiaTheme="majorEastAsia" w:hAnsiTheme="majorHAnsi" w:cstheme="majorBidi" w:ascii="Liberation Sans" w:hAnsi="Liberation Sans"/>
      <w:b/>
      <w:bCs/>
      <w:color w:val="17384A"/>
      <w:sz w:val="23"/>
      <w:lang w:val="en-AU"/>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val="0"/>
      <w:widowControl/>
      <w:spacing w:after="140" w:line="250" w:lineRule="auto" w:before="0"/>
      <w:contextualSpacing/>
    </w:pPr>
    <w:rPr>
      <w:rFonts w:asciiTheme="majorHAnsi" w:eastAsiaTheme="majorEastAsia" w:hAnsiTheme="majorHAnsi" w:cstheme="majorBidi" w:ascii="Liberation Sans" w:hAnsi="Liberation Sans"/>
      <w:color w:val="17384A"/>
      <w:spacing w:val="5"/>
      <w:kern w:val="28"/>
      <w:sz w:val="54"/>
      <w:szCs w:val="52"/>
      <w:lang w:val="en-AU"/>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val="0"/>
      <w:widowControl/>
      <w:numPr>
        <w:ilvl w:val="1"/>
      </w:numPr>
      <w:spacing w:line="250" w:lineRule="auto" w:before="0" w:after="140"/>
    </w:pPr>
    <w:rPr>
      <w:rFonts w:asciiTheme="majorHAnsi" w:eastAsiaTheme="majorEastAsia" w:hAnsiTheme="majorHAnsi" w:cstheme="majorBidi" w:ascii="Liberation Sans" w:hAnsi="Liberation Sans"/>
      <w:i/>
      <w:iCs/>
      <w:color w:val="326A74"/>
      <w:spacing w:val="15"/>
      <w:sz w:val="25"/>
      <w:szCs w:val="24"/>
      <w:lang w:val="en-AU"/>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val="0"/>
      <w:widowControl/>
      <w:numPr>
        <w:numId w:val="1"/>
      </w:numPr>
      <w:spacing w:line="250" w:lineRule="auto" w:after="60"/>
      <w:ind w:left="245" w:hanging="173"/>
      <w:contextualSpacing/>
    </w:pPr>
    <w:rPr>
      <w:rFonts w:ascii="Liberation Sans" w:hAnsi="Liberation Sans"/>
      <w:color w:val="25343B"/>
      <w:sz w:val="22"/>
      <w:lang w:val="en-AU"/>
    </w:rPr>
  </w:style>
  <w:style w:type="paragraph" w:styleId="ListBullet2">
    <w:name w:val="List Bullet 2"/>
    <w:basedOn w:val="Normal"/>
    <w:uiPriority w:val="99"/>
    <w:unhideWhenUsed/>
    <w:rsid w:val="00326F90"/>
    <w:pPr>
      <w:keepLines w:val="0"/>
      <w:widowControl/>
      <w:numPr>
        <w:numId w:val="2"/>
      </w:numPr>
      <w:spacing w:line="250" w:lineRule="auto" w:after="60"/>
      <w:ind w:left="504" w:hanging="173"/>
      <w:contextualSpacing/>
    </w:pPr>
    <w:rPr>
      <w:rFonts w:ascii="Liberation Sans" w:hAnsi="Liberation Sans"/>
      <w:color w:val="25343B"/>
      <w:sz w:val="22"/>
      <w:lang w:val="en-AU"/>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keepLines w:val="0"/>
      <w:widowControl/>
      <w:numPr>
        <w:numId w:val="5"/>
      </w:numPr>
      <w:spacing w:line="250" w:lineRule="auto" w:after="60"/>
      <w:ind w:left="245" w:hanging="173"/>
      <w:contextualSpacing/>
    </w:pPr>
    <w:rPr>
      <w:rFonts w:ascii="Liberation Sans" w:hAnsi="Liberation Sans"/>
      <w:color w:val="25343B"/>
      <w:sz w:val="22"/>
      <w:lang w:val="en-AU"/>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Lines w:val="0"/>
      <w:widowControl/>
      <w:spacing w:line="250" w:lineRule="auto"/>
    </w:pPr>
    <w:rPr>
      <w:rFonts w:ascii="Liberation Sans" w:hAnsi="Liberation Sans"/>
      <w:b/>
      <w:bCs/>
      <w:color w:val="25343B"/>
      <w:sz w:val="18"/>
      <w:szCs w:val="18"/>
      <w:lang w:val="en-AU"/>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Label">
    <w:name w:val="Source Label"/>
    <w:basedOn w:val="Normal"/>
    <w:pPr>
      <w:keepNext/>
      <w:spacing w:after="100" w:line="254" w:lineRule="auto"/>
    </w:pPr>
    <w:rPr>
      <w:rFonts w:ascii="Liberation Sans" w:hAnsi="Liberation Sans"/>
      <w:b/>
      <w:color w:val="17384A"/>
      <w:sz w:val="18"/>
    </w:rPr>
  </w:style>
  <w:style w:type="paragraph" w:customStyle="1" w:styleId="SourceNote">
    <w:name w:val="Source Note"/>
    <w:basedOn w:val="Normal"/>
    <w:pPr>
      <w:spacing w:after="140" w:line="254" w:lineRule="auto"/>
    </w:pPr>
    <w:rPr>
      <w:rFonts w:ascii="Liberation Sans" w:hAnsi="Liberation Sans"/>
      <w:color w:val="5C6870"/>
      <w:sz w:val="19"/>
    </w:rPr>
  </w:style>
  <w:style w:type="paragraph" w:customStyle="1" w:styleId="ContentsText">
    <w:name w:val="Contents Text"/>
    <w:basedOn w:val="Normal"/>
    <w:pPr>
      <w:keepNext/>
      <w:spacing w:after="20" w:line="254" w:lineRule="auto"/>
    </w:pPr>
    <w:rPr>
      <w:rFonts w:ascii="Liberation Sans" w:hAnsi="Liberation Sans"/>
      <w:color w:val="17384A"/>
      <w:sz w:val="22"/>
    </w:rPr>
  </w:style>
  <w:style w:type="paragraph" w:customStyle="1" w:styleId="AppendixText">
    <w:name w:val="Appendix Text"/>
    <w:basedOn w:val="Normal"/>
    <w:pPr>
      <w:spacing w:after="100" w:line="254" w:lineRule="auto"/>
    </w:pPr>
    <w:rPr>
      <w:rFonts w:ascii="Liberation Sans" w:hAnsi="Liberation Sans"/>
      <w:color w:val="25343B"/>
      <w:sz w:val="21"/>
    </w:rPr>
  </w:style>
  <w:style w:type="paragraph" w:customStyle="1" w:styleId="TableText">
    <w:name w:val="Table Text"/>
    <w:basedOn w:val="Normal"/>
    <w:pPr>
      <w:spacing w:after="40" w:line="252" w:lineRule="auto"/>
    </w:pPr>
    <w:rPr>
      <w:rFonts w:ascii="Liberation Sans" w:hAnsi="Liberation Sans"/>
      <w:color w:val="25343B"/>
      <w:sz w:val="21"/>
    </w:rPr>
  </w:style>
  <w:style w:type="paragraph" w:customStyle="1" w:styleId="TableHeader">
    <w:name w:val="Table Header"/>
    <w:basedOn w:val="Normal"/>
    <w:pPr>
      <w:spacing w:after="0" w:line="254" w:lineRule="auto"/>
    </w:pPr>
    <w:rPr>
      <w:rFonts w:ascii="Liberation Sans" w:hAnsi="Liberation Sans"/>
      <w:b/>
      <w:color w:val="17384A"/>
      <w:sz w:val="20"/>
    </w:rPr>
  </w:style>
  <w:style w:type="paragraph" w:customStyle="1" w:styleId="SummaryText">
    <w:name w:val="Summary Text"/>
    <w:basedOn w:val="Normal"/>
    <w:pPr>
      <w:spacing w:after="100" w:line="254" w:lineRule="auto"/>
    </w:pPr>
    <w:rPr>
      <w:rFonts w:ascii="Liberation Sans" w:hAnsi="Liberation Sans"/>
      <w:color w:val="25343B"/>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Rooming Accommodation: Investment, Regulation &amp; Management</dc:title>
  <dc:subject>Combined summary and source reference for eight rooming-accommodation documents</dc:subject>
  <dc:creator/>
  <cp:keywords>rooming accommodation, rooming houses, HMO, property investment, Queensland</cp:keywords>
  <dc:description/>
  <cp:lastModifiedBy/>
  <cp:revision>1</cp:revision>
  <dcterms:created xsi:type="dcterms:W3CDTF">2013-12-23T23:15:00Z</dcterms:created>
  <dcterms:modified xsi:type="dcterms:W3CDTF">2013-12-23T23:15:00Z</dcterms:modified>
  <cp:category/>
  <dc:language>en-AU</dc:language>
</cp:coreProperties>
</file>